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775BC0">
      <w:pPr>
        <w:spacing w:before="166" w:line="176" w:lineRule="auto"/>
        <w:ind w:left="3708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sz w:val="43"/>
          <w:szCs w:val="43"/>
        </w:rPr>
        <w:t>评审规则</w:t>
      </w:r>
    </w:p>
    <w:tbl>
      <w:tblPr>
        <w:tblStyle w:val="7"/>
        <w:tblW w:w="94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2931"/>
        <w:gridCol w:w="5741"/>
      </w:tblGrid>
      <w:tr w14:paraId="1928B2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796" w:type="dxa"/>
            <w:vAlign w:val="center"/>
          </w:tcPr>
          <w:p w14:paraId="6D4FD9D0">
            <w:pPr>
              <w:pStyle w:val="8"/>
              <w:spacing w:before="288" w:line="216" w:lineRule="auto"/>
              <w:jc w:val="center"/>
            </w:pPr>
            <w:r>
              <w:rPr>
                <w:spacing w:val="-4"/>
              </w:rPr>
              <w:t>序号</w:t>
            </w:r>
          </w:p>
        </w:tc>
        <w:tc>
          <w:tcPr>
            <w:tcW w:w="2931" w:type="dxa"/>
            <w:vAlign w:val="center"/>
          </w:tcPr>
          <w:p w14:paraId="5EE1177F">
            <w:pPr>
              <w:pStyle w:val="8"/>
              <w:spacing w:before="288" w:line="214" w:lineRule="auto"/>
              <w:jc w:val="center"/>
            </w:pPr>
            <w:r>
              <w:rPr>
                <w:spacing w:val="-3"/>
              </w:rPr>
              <w:t>评审因素</w:t>
            </w:r>
          </w:p>
        </w:tc>
        <w:tc>
          <w:tcPr>
            <w:tcW w:w="5741" w:type="dxa"/>
            <w:vAlign w:val="top"/>
          </w:tcPr>
          <w:p w14:paraId="0491611A">
            <w:pPr>
              <w:pStyle w:val="8"/>
              <w:spacing w:before="288" w:line="215" w:lineRule="auto"/>
              <w:ind w:left="2396"/>
            </w:pPr>
            <w:r>
              <w:rPr>
                <w:spacing w:val="-3"/>
              </w:rPr>
              <w:t>评审标准</w:t>
            </w:r>
          </w:p>
        </w:tc>
      </w:tr>
      <w:tr w14:paraId="52EF46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8" w:hRule="atLeast"/>
        </w:trPr>
        <w:tc>
          <w:tcPr>
            <w:tcW w:w="796" w:type="dxa"/>
            <w:vAlign w:val="center"/>
          </w:tcPr>
          <w:p w14:paraId="512ABC8A">
            <w:pPr>
              <w:pStyle w:val="8"/>
              <w:spacing w:before="78" w:line="319" w:lineRule="exact"/>
              <w:jc w:val="center"/>
            </w:pPr>
            <w:r>
              <w:t>1</w:t>
            </w:r>
          </w:p>
        </w:tc>
        <w:tc>
          <w:tcPr>
            <w:tcW w:w="2931" w:type="dxa"/>
            <w:vAlign w:val="center"/>
          </w:tcPr>
          <w:p w14:paraId="05CAB82C">
            <w:pPr>
              <w:pStyle w:val="8"/>
              <w:spacing w:before="78" w:line="214" w:lineRule="auto"/>
              <w:jc w:val="center"/>
            </w:pPr>
            <w:r>
              <w:rPr>
                <w:spacing w:val="-3"/>
              </w:rPr>
              <w:t>分值构成</w:t>
            </w:r>
          </w:p>
          <w:p w14:paraId="2627CE7A">
            <w:pPr>
              <w:pStyle w:val="8"/>
              <w:spacing w:before="189" w:line="217" w:lineRule="auto"/>
              <w:jc w:val="center"/>
            </w:pPr>
            <w:r>
              <w:rPr>
                <w:rFonts w:hint="eastAsia"/>
                <w:spacing w:val="-12"/>
                <w:lang w:eastAsia="zh-CN"/>
              </w:rPr>
              <w:t>（</w:t>
            </w:r>
            <w:r>
              <w:rPr>
                <w:spacing w:val="-12"/>
              </w:rPr>
              <w:t>总分100分</w:t>
            </w:r>
            <w:r>
              <w:rPr>
                <w:rFonts w:hint="eastAsia"/>
                <w:spacing w:val="-12"/>
                <w:lang w:eastAsia="zh-CN"/>
              </w:rPr>
              <w:t>）</w:t>
            </w:r>
          </w:p>
        </w:tc>
        <w:tc>
          <w:tcPr>
            <w:tcW w:w="5741" w:type="dxa"/>
            <w:vAlign w:val="top"/>
          </w:tcPr>
          <w:p w14:paraId="4CE93038">
            <w:pPr>
              <w:pStyle w:val="8"/>
              <w:spacing w:before="118" w:line="214" w:lineRule="auto"/>
              <w:ind w:left="20"/>
            </w:pPr>
            <w:r>
              <w:rPr>
                <w:spacing w:val="-3"/>
              </w:rPr>
              <w:t>报价部分：35分</w:t>
            </w:r>
          </w:p>
          <w:p w14:paraId="5AEF0464">
            <w:pPr>
              <w:pStyle w:val="8"/>
              <w:spacing w:before="189" w:line="217" w:lineRule="auto"/>
              <w:ind w:left="16"/>
            </w:pPr>
            <w:r>
              <w:rPr>
                <w:spacing w:val="-2"/>
              </w:rPr>
              <w:t>技术部分：35分</w:t>
            </w:r>
          </w:p>
          <w:p w14:paraId="66313577">
            <w:pPr>
              <w:pStyle w:val="8"/>
              <w:spacing w:before="185" w:line="217" w:lineRule="auto"/>
              <w:ind w:left="23"/>
            </w:pPr>
            <w:r>
              <w:rPr>
                <w:spacing w:val="-3"/>
              </w:rPr>
              <w:t>综合部分：30分</w:t>
            </w:r>
          </w:p>
        </w:tc>
      </w:tr>
      <w:tr w14:paraId="1C2038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8" w:hRule="atLeast"/>
        </w:trPr>
        <w:tc>
          <w:tcPr>
            <w:tcW w:w="796" w:type="dxa"/>
            <w:vAlign w:val="center"/>
          </w:tcPr>
          <w:p w14:paraId="33FF2773">
            <w:pPr>
              <w:pStyle w:val="8"/>
              <w:spacing w:before="78" w:line="319" w:lineRule="exact"/>
              <w:jc w:val="center"/>
            </w:pPr>
            <w:r>
              <w:t>2</w:t>
            </w:r>
          </w:p>
        </w:tc>
        <w:tc>
          <w:tcPr>
            <w:tcW w:w="2931" w:type="dxa"/>
            <w:vAlign w:val="center"/>
          </w:tcPr>
          <w:p w14:paraId="62D8FCE3">
            <w:pPr>
              <w:pStyle w:val="8"/>
              <w:spacing w:before="78" w:line="214" w:lineRule="auto"/>
              <w:jc w:val="center"/>
            </w:pPr>
            <w:r>
              <w:rPr>
                <w:spacing w:val="-2"/>
              </w:rPr>
              <w:t>评审基准价计算方法</w:t>
            </w:r>
          </w:p>
        </w:tc>
        <w:tc>
          <w:tcPr>
            <w:tcW w:w="5741" w:type="dxa"/>
            <w:vAlign w:val="top"/>
          </w:tcPr>
          <w:p w14:paraId="1439E5B1">
            <w:pPr>
              <w:pStyle w:val="8"/>
              <w:spacing w:before="117" w:line="360" w:lineRule="auto"/>
              <w:ind w:left="19" w:hanging="1"/>
            </w:pPr>
            <w:r>
              <w:rPr>
                <w:spacing w:val="-12"/>
              </w:rPr>
              <w:t>有效供应商报价：通过初步评审（形式评审、资格评审、</w:t>
            </w:r>
            <w:r>
              <w:rPr>
                <w:spacing w:val="-8"/>
              </w:rPr>
              <w:t>响应性评审）的供应商的响应总报价（不含增值税）。</w:t>
            </w:r>
          </w:p>
          <w:p w14:paraId="7A0209E7">
            <w:pPr>
              <w:pStyle w:val="8"/>
              <w:spacing w:line="360" w:lineRule="auto"/>
              <w:ind w:left="12" w:right="3" w:hanging="4"/>
            </w:pPr>
            <w:r>
              <w:rPr>
                <w:spacing w:val="-2"/>
              </w:rPr>
              <w:t>（1）当通过初步评审的单位数量在5家以上时，采用二次平均的办法计算评审基准价。即有效供应商的响应总报价（不含增值税）去掉一个最高报价和一个最低报价的算术平均值为一次平均值，该平均值及以下的响应总</w:t>
            </w:r>
            <w:r>
              <w:rPr>
                <w:spacing w:val="6"/>
              </w:rPr>
              <w:t>报价（不含增值税</w:t>
            </w:r>
            <w:r>
              <w:rPr>
                <w:spacing w:val="-87"/>
              </w:rPr>
              <w:t>）</w:t>
            </w:r>
            <w:r>
              <w:rPr>
                <w:rFonts w:hint="eastAsia"/>
                <w:spacing w:val="-87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pacing w:val="-87"/>
                <w:sz w:val="24"/>
                <w:szCs w:val="24"/>
                <w:lang w:val="en-US" w:eastAsia="zh-CN"/>
              </w:rPr>
              <w:t>含</w:t>
            </w:r>
            <w:r>
              <w:rPr>
                <w:spacing w:val="6"/>
                <w:sz w:val="24"/>
                <w:szCs w:val="24"/>
              </w:rPr>
              <w:t>等于一次</w:t>
            </w:r>
            <w:r>
              <w:rPr>
                <w:spacing w:val="6"/>
              </w:rPr>
              <w:t>平均值的供应商响应</w:t>
            </w:r>
            <w:r>
              <w:rPr>
                <w:spacing w:val="-2"/>
              </w:rPr>
              <w:t>总报价，不含一次平均值计算过程中去掉的一个最低报</w:t>
            </w:r>
            <w:r>
              <w:rPr>
                <w:spacing w:val="-1"/>
              </w:rPr>
              <w:t>价）算术平均值为评审基准价。</w:t>
            </w:r>
          </w:p>
          <w:p w14:paraId="68EA24E1">
            <w:pPr>
              <w:pStyle w:val="8"/>
              <w:spacing w:before="3" w:line="327" w:lineRule="auto"/>
              <w:ind w:left="18" w:right="3" w:hanging="10"/>
            </w:pPr>
            <w:r>
              <w:rPr>
                <w:spacing w:val="-2"/>
              </w:rPr>
              <w:t>（2）当通过初步评审的单位数量在5家及以下的，采用一次平均的方法计算评审基准价，评审基准价为所有供</w:t>
            </w:r>
            <w:r>
              <w:rPr>
                <w:spacing w:val="-1"/>
              </w:rPr>
              <w:t>应商响应总报价（不含增值税）的算术平均值。</w:t>
            </w:r>
          </w:p>
        </w:tc>
      </w:tr>
      <w:tr w14:paraId="392E9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796" w:type="dxa"/>
            <w:vAlign w:val="center"/>
          </w:tcPr>
          <w:p w14:paraId="4B9EA541">
            <w:pPr>
              <w:pStyle w:val="8"/>
              <w:spacing w:before="78"/>
              <w:jc w:val="center"/>
            </w:pPr>
            <w:r>
              <w:rPr>
                <w:spacing w:val="-7"/>
              </w:rPr>
              <w:t>2.1</w:t>
            </w:r>
          </w:p>
        </w:tc>
        <w:tc>
          <w:tcPr>
            <w:tcW w:w="2931" w:type="dxa"/>
            <w:vAlign w:val="center"/>
          </w:tcPr>
          <w:p w14:paraId="6081DB67">
            <w:pPr>
              <w:pStyle w:val="8"/>
              <w:spacing w:before="121" w:line="312" w:lineRule="auto"/>
              <w:ind w:right="29"/>
              <w:jc w:val="center"/>
            </w:pPr>
            <w:r>
              <w:rPr>
                <w:spacing w:val="-2"/>
              </w:rPr>
              <w:t>响应总报价（不含增值税）</w:t>
            </w:r>
            <w:r>
              <w:rPr>
                <w:spacing w:val="-4"/>
              </w:rPr>
              <w:t>的偏差率计算公式</w:t>
            </w:r>
          </w:p>
        </w:tc>
        <w:tc>
          <w:tcPr>
            <w:tcW w:w="5741" w:type="dxa"/>
            <w:vAlign w:val="top"/>
          </w:tcPr>
          <w:p w14:paraId="0615558B">
            <w:pPr>
              <w:pStyle w:val="8"/>
              <w:spacing w:before="121" w:line="312" w:lineRule="auto"/>
              <w:ind w:left="12" w:right="70"/>
            </w:pPr>
            <w:r>
              <w:rPr>
                <w:spacing w:val="-1"/>
              </w:rPr>
              <w:t>偏差率=100%×（供应商响应总报价（不含增值税）-评标基准价）/评标基准价</w:t>
            </w:r>
          </w:p>
        </w:tc>
      </w:tr>
    </w:tbl>
    <w:p w14:paraId="73525DC0">
      <w:pPr>
        <w:rPr>
          <w:rFonts w:ascii="Arial"/>
          <w:sz w:val="21"/>
        </w:rPr>
      </w:pPr>
    </w:p>
    <w:p w14:paraId="67462B45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2098" w:right="1474" w:bottom="1984" w:left="1587" w:header="0" w:footer="975" w:gutter="0"/>
          <w:pgNumType w:fmt="decimal"/>
          <w:cols w:space="720" w:num="1"/>
        </w:sectPr>
      </w:pPr>
    </w:p>
    <w:tbl>
      <w:tblPr>
        <w:tblStyle w:val="7"/>
        <w:tblW w:w="94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1154"/>
        <w:gridCol w:w="1777"/>
        <w:gridCol w:w="5741"/>
      </w:tblGrid>
      <w:tr w14:paraId="1B27D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atLeast"/>
        </w:trPr>
        <w:tc>
          <w:tcPr>
            <w:tcW w:w="796" w:type="dxa"/>
            <w:vAlign w:val="center"/>
          </w:tcPr>
          <w:p w14:paraId="28718F0C">
            <w:pPr>
              <w:pStyle w:val="8"/>
              <w:spacing w:before="289" w:line="480" w:lineRule="auto"/>
              <w:jc w:val="center"/>
            </w:pPr>
            <w:r>
              <w:rPr>
                <w:spacing w:val="-4"/>
              </w:rPr>
              <w:t>序号</w:t>
            </w:r>
          </w:p>
        </w:tc>
        <w:tc>
          <w:tcPr>
            <w:tcW w:w="2931" w:type="dxa"/>
            <w:gridSpan w:val="2"/>
            <w:vAlign w:val="center"/>
          </w:tcPr>
          <w:p w14:paraId="2535CF8B">
            <w:pPr>
              <w:pStyle w:val="8"/>
              <w:spacing w:before="289" w:line="480" w:lineRule="auto"/>
              <w:jc w:val="center"/>
            </w:pPr>
            <w:r>
              <w:rPr>
                <w:spacing w:val="-3"/>
              </w:rPr>
              <w:t>评审因素</w:t>
            </w:r>
          </w:p>
        </w:tc>
        <w:tc>
          <w:tcPr>
            <w:tcW w:w="5741" w:type="dxa"/>
            <w:vAlign w:val="top"/>
          </w:tcPr>
          <w:p w14:paraId="701E7E97">
            <w:pPr>
              <w:pStyle w:val="8"/>
              <w:spacing w:before="289" w:line="480" w:lineRule="auto"/>
              <w:ind w:left="2396"/>
            </w:pPr>
            <w:r>
              <w:rPr>
                <w:spacing w:val="-3"/>
              </w:rPr>
              <w:t>评审标准</w:t>
            </w:r>
          </w:p>
        </w:tc>
      </w:tr>
      <w:tr w14:paraId="098D5F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4" w:hRule="atLeast"/>
        </w:trPr>
        <w:tc>
          <w:tcPr>
            <w:tcW w:w="796" w:type="dxa"/>
            <w:vAlign w:val="center"/>
          </w:tcPr>
          <w:p w14:paraId="1339E2F5">
            <w:pPr>
              <w:pStyle w:val="8"/>
              <w:spacing w:before="78" w:line="242" w:lineRule="auto"/>
              <w:jc w:val="center"/>
            </w:pPr>
            <w:r>
              <w:t>3</w:t>
            </w:r>
          </w:p>
        </w:tc>
        <w:tc>
          <w:tcPr>
            <w:tcW w:w="1154" w:type="dxa"/>
            <w:vAlign w:val="center"/>
          </w:tcPr>
          <w:p w14:paraId="4CB98828">
            <w:pPr>
              <w:pStyle w:val="8"/>
              <w:spacing w:before="78" w:line="361" w:lineRule="auto"/>
              <w:ind w:right="72"/>
              <w:jc w:val="center"/>
            </w:pPr>
            <w:r>
              <w:rPr>
                <w:spacing w:val="-5"/>
              </w:rPr>
              <w:t>报价部分（35分）</w:t>
            </w:r>
          </w:p>
        </w:tc>
        <w:tc>
          <w:tcPr>
            <w:tcW w:w="1777" w:type="dxa"/>
            <w:vAlign w:val="center"/>
          </w:tcPr>
          <w:p w14:paraId="6B98223D">
            <w:pPr>
              <w:pStyle w:val="8"/>
              <w:spacing w:before="78" w:line="361" w:lineRule="auto"/>
              <w:ind w:right="380"/>
              <w:jc w:val="center"/>
              <w:rPr>
                <w:spacing w:val="-4"/>
              </w:rPr>
            </w:pPr>
            <w:r>
              <w:rPr>
                <w:spacing w:val="-4"/>
              </w:rPr>
              <w:t>报价得分</w:t>
            </w:r>
          </w:p>
          <w:p w14:paraId="16A9FDFA">
            <w:pPr>
              <w:pStyle w:val="8"/>
              <w:spacing w:before="78" w:line="361" w:lineRule="auto"/>
              <w:ind w:right="380"/>
              <w:jc w:val="center"/>
            </w:pPr>
            <w:r>
              <w:rPr>
                <w:spacing w:val="-5"/>
              </w:rPr>
              <w:t>（</w:t>
            </w:r>
            <w:r>
              <w:rPr>
                <w:rFonts w:hint="eastAsia"/>
                <w:spacing w:val="-5"/>
                <w:lang w:val="en-US" w:eastAsia="zh-CN"/>
              </w:rPr>
              <w:t>3</w:t>
            </w:r>
            <w:r>
              <w:rPr>
                <w:spacing w:val="-5"/>
              </w:rPr>
              <w:t>5分）</w:t>
            </w:r>
          </w:p>
        </w:tc>
        <w:tc>
          <w:tcPr>
            <w:tcW w:w="5741" w:type="dxa"/>
            <w:vAlign w:val="top"/>
          </w:tcPr>
          <w:p w14:paraId="18962884">
            <w:pPr>
              <w:pStyle w:val="8"/>
              <w:spacing w:before="116" w:line="360" w:lineRule="auto"/>
              <w:ind w:left="10" w:right="5" w:hanging="2"/>
            </w:pPr>
            <w:r>
              <w:rPr>
                <w:spacing w:val="3"/>
              </w:rPr>
              <w:t>（1）当有效供应商响应总报价（不含增值税）等于评</w:t>
            </w:r>
            <w:r>
              <w:rPr>
                <w:spacing w:val="-1"/>
              </w:rPr>
              <w:t>标基准价时，供应商得满分35分；</w:t>
            </w:r>
          </w:p>
          <w:p w14:paraId="1A113CE5">
            <w:pPr>
              <w:pStyle w:val="8"/>
              <w:spacing w:line="360" w:lineRule="auto"/>
              <w:ind w:left="12" w:hanging="4"/>
            </w:pPr>
            <w:r>
              <w:rPr>
                <w:spacing w:val="-6"/>
              </w:rPr>
              <w:t>（2）当响应总报价（不含增值税）高于评标基</w:t>
            </w:r>
            <w:r>
              <w:rPr>
                <w:spacing w:val="-7"/>
              </w:rPr>
              <w:t>准价时，</w:t>
            </w:r>
            <w:r>
              <w:rPr>
                <w:spacing w:val="1"/>
              </w:rPr>
              <w:t>按每高于评标基准价1%扣1分的比例在3</w:t>
            </w:r>
            <w:r>
              <w:t>5分的基础上进</w:t>
            </w:r>
            <w:r>
              <w:rPr>
                <w:spacing w:val="-4"/>
              </w:rPr>
              <w:t>行扣分，扣完为止。</w:t>
            </w:r>
          </w:p>
          <w:p w14:paraId="42A959E4">
            <w:pPr>
              <w:pStyle w:val="8"/>
              <w:spacing w:before="2" w:line="359" w:lineRule="auto"/>
              <w:ind w:left="13" w:right="5" w:firstLine="7"/>
            </w:pPr>
            <w:r>
              <w:rPr>
                <w:spacing w:val="2"/>
              </w:rPr>
              <w:t>报价得分=35分-（供应商响应总报价（不含增值税）-</w:t>
            </w:r>
            <w:r>
              <w:rPr>
                <w:spacing w:val="-11"/>
              </w:rPr>
              <w:t>评标基准价）/评标基准价</w:t>
            </w:r>
            <w:r>
              <w:rPr>
                <w:rFonts w:hint="eastAsia"/>
                <w:spacing w:val="-11"/>
                <w:lang w:val="en-US" w:eastAsia="zh-CN"/>
              </w:rPr>
              <w:t>×1×100</w:t>
            </w:r>
            <w:r>
              <w:rPr>
                <w:spacing w:val="-11"/>
              </w:rPr>
              <w:t>；</w:t>
            </w:r>
          </w:p>
          <w:p w14:paraId="2F013A50">
            <w:pPr>
              <w:pStyle w:val="8"/>
              <w:spacing w:line="360" w:lineRule="auto"/>
              <w:ind w:left="12" w:hanging="4"/>
            </w:pPr>
            <w:r>
              <w:rPr>
                <w:spacing w:val="-6"/>
              </w:rPr>
              <w:t>（3）当响应总报价（不含增值税）低于评标基</w:t>
            </w:r>
            <w:r>
              <w:rPr>
                <w:spacing w:val="-7"/>
              </w:rPr>
              <w:t>准价时，</w:t>
            </w:r>
            <w:r>
              <w:rPr>
                <w:spacing w:val="1"/>
              </w:rPr>
              <w:t>按每低于评标基准价1%扣0.5分的比例在3</w:t>
            </w:r>
            <w:r>
              <w:t>5分的基础上</w:t>
            </w:r>
            <w:r>
              <w:rPr>
                <w:spacing w:val="-4"/>
              </w:rPr>
              <w:t>进行扣分，扣完为止。</w:t>
            </w:r>
          </w:p>
          <w:p w14:paraId="37B506F7">
            <w:pPr>
              <w:pStyle w:val="8"/>
              <w:spacing w:before="2" w:line="359" w:lineRule="auto"/>
              <w:ind w:left="13" w:right="5" w:firstLine="7"/>
              <w:rPr>
                <w:rFonts w:hint="default" w:eastAsia="FangSong_GB2312"/>
                <w:lang w:val="en-US" w:eastAsia="zh-CN"/>
              </w:rPr>
            </w:pPr>
            <w:r>
              <w:rPr>
                <w:spacing w:val="2"/>
              </w:rPr>
              <w:t>报价得分=35分+（供应商响应总报价（不含增值税）-</w:t>
            </w:r>
            <w:r>
              <w:rPr>
                <w:spacing w:val="-11"/>
              </w:rPr>
              <w:t>评标基准价）/评标基准价</w:t>
            </w:r>
            <w:r>
              <w:rPr>
                <w:rFonts w:hint="eastAsia"/>
                <w:spacing w:val="-11"/>
                <w:lang w:val="en-US" w:eastAsia="zh-CN"/>
              </w:rPr>
              <w:t>×0.5×100；</w:t>
            </w:r>
          </w:p>
          <w:p w14:paraId="60CA9568">
            <w:pPr>
              <w:pStyle w:val="8"/>
              <w:spacing w:line="312" w:lineRule="auto"/>
              <w:ind w:left="21" w:right="3" w:hanging="5"/>
            </w:pPr>
            <w:r>
              <w:rPr>
                <w:spacing w:val="-2"/>
              </w:rPr>
              <w:t>备注：数值精度为小数点后</w:t>
            </w:r>
            <w:r>
              <w:rPr>
                <w:rFonts w:hint="eastAsia"/>
                <w:spacing w:val="-2"/>
                <w:lang w:eastAsia="zh-CN"/>
              </w:rPr>
              <w:t>两位</w:t>
            </w:r>
            <w:r>
              <w:rPr>
                <w:spacing w:val="-2"/>
              </w:rPr>
              <w:t>，第三位小数进行四舍</w:t>
            </w:r>
            <w:r>
              <w:rPr>
                <w:spacing w:val="-6"/>
              </w:rPr>
              <w:t>五入。</w:t>
            </w:r>
          </w:p>
        </w:tc>
      </w:tr>
      <w:tr w14:paraId="70BB8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4" w:hRule="atLeast"/>
        </w:trPr>
        <w:tc>
          <w:tcPr>
            <w:tcW w:w="796" w:type="dxa"/>
            <w:vMerge w:val="restart"/>
            <w:tcBorders>
              <w:bottom w:val="nil"/>
            </w:tcBorders>
            <w:vAlign w:val="center"/>
          </w:tcPr>
          <w:p w14:paraId="31F09E63">
            <w:pPr>
              <w:pStyle w:val="8"/>
              <w:spacing w:before="78" w:line="319" w:lineRule="exact"/>
              <w:jc w:val="center"/>
            </w:pPr>
            <w:r>
              <w:t>4</w:t>
            </w:r>
          </w:p>
        </w:tc>
        <w:tc>
          <w:tcPr>
            <w:tcW w:w="1154" w:type="dxa"/>
            <w:vMerge w:val="restart"/>
            <w:tcBorders>
              <w:bottom w:val="nil"/>
            </w:tcBorders>
            <w:vAlign w:val="center"/>
          </w:tcPr>
          <w:p w14:paraId="0F77B48B">
            <w:pPr>
              <w:pStyle w:val="8"/>
              <w:spacing w:before="78" w:line="361" w:lineRule="auto"/>
              <w:ind w:right="72"/>
              <w:jc w:val="center"/>
            </w:pPr>
            <w:r>
              <w:rPr>
                <w:spacing w:val="-4"/>
              </w:rPr>
              <w:t>技术部分</w:t>
            </w:r>
            <w:r>
              <w:rPr>
                <w:spacing w:val="-5"/>
              </w:rPr>
              <w:t>（35分）</w:t>
            </w:r>
          </w:p>
        </w:tc>
        <w:tc>
          <w:tcPr>
            <w:tcW w:w="1777" w:type="dxa"/>
            <w:vAlign w:val="center"/>
          </w:tcPr>
          <w:p w14:paraId="380218CF">
            <w:pPr>
              <w:pStyle w:val="8"/>
              <w:spacing w:before="78" w:line="216" w:lineRule="auto"/>
              <w:jc w:val="center"/>
            </w:pPr>
            <w:r>
              <w:rPr>
                <w:spacing w:val="-2"/>
              </w:rPr>
              <w:t>项目理解与分析</w:t>
            </w:r>
          </w:p>
          <w:p w14:paraId="5C346E6C">
            <w:pPr>
              <w:pStyle w:val="8"/>
              <w:spacing w:before="187" w:line="217" w:lineRule="auto"/>
              <w:ind w:left="381"/>
              <w:jc w:val="center"/>
            </w:pPr>
            <w:r>
              <w:rPr>
                <w:spacing w:val="-4"/>
              </w:rPr>
              <w:t>（10分）</w:t>
            </w:r>
          </w:p>
        </w:tc>
        <w:tc>
          <w:tcPr>
            <w:tcW w:w="5741" w:type="dxa"/>
            <w:vAlign w:val="top"/>
          </w:tcPr>
          <w:p w14:paraId="4CA56E5D">
            <w:pPr>
              <w:pStyle w:val="8"/>
              <w:spacing w:before="117" w:line="341" w:lineRule="auto"/>
              <w:ind w:left="10"/>
              <w:jc w:val="both"/>
            </w:pPr>
            <w:r>
              <w:rPr>
                <w:spacing w:val="-4"/>
              </w:rPr>
              <w:t>根据供应商对本项目背景、建设内容、区域现状、规划要求等方面的理解深度进行打分。理解全面深入、分析</w:t>
            </w:r>
            <w:r>
              <w:rPr>
                <w:spacing w:val="-6"/>
              </w:rPr>
              <w:t>透彻的得7</w:t>
            </w:r>
            <w:r>
              <w:rPr>
                <w:rFonts w:hint="eastAsia"/>
                <w:spacing w:val="-6"/>
                <w:lang w:eastAsia="zh-CN"/>
              </w:rPr>
              <w:t>—</w:t>
            </w:r>
            <w:r>
              <w:rPr>
                <w:spacing w:val="-6"/>
              </w:rPr>
              <w:t>10分；理解较为全面、分析合理的得4</w:t>
            </w:r>
            <w:r>
              <w:rPr>
                <w:rFonts w:hint="eastAsia"/>
                <w:spacing w:val="-6"/>
                <w:lang w:eastAsia="zh-CN"/>
              </w:rPr>
              <w:t>—</w:t>
            </w:r>
            <w:r>
              <w:rPr>
                <w:spacing w:val="-6"/>
              </w:rPr>
              <w:t>6分；</w:t>
            </w:r>
            <w:r>
              <w:rPr>
                <w:spacing w:val="1"/>
              </w:rPr>
              <w:t>理解一般、分析较浅的得1</w:t>
            </w:r>
            <w:r>
              <w:rPr>
                <w:rFonts w:hint="eastAsia"/>
                <w:spacing w:val="1"/>
                <w:lang w:eastAsia="zh-CN"/>
              </w:rPr>
              <w:t>—</w:t>
            </w:r>
            <w:r>
              <w:rPr>
                <w:spacing w:val="1"/>
              </w:rPr>
              <w:t>3分；未提供或严重偏离的</w:t>
            </w:r>
            <w:r>
              <w:rPr>
                <w:spacing w:val="-4"/>
              </w:rPr>
              <w:t>得0分。</w:t>
            </w:r>
          </w:p>
        </w:tc>
      </w:tr>
      <w:tr w14:paraId="3DA8A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7" w:hRule="atLeast"/>
        </w:trPr>
        <w:tc>
          <w:tcPr>
            <w:tcW w:w="796" w:type="dxa"/>
            <w:vMerge w:val="continue"/>
            <w:tcBorders>
              <w:top w:val="nil"/>
            </w:tcBorders>
            <w:vAlign w:val="center"/>
          </w:tcPr>
          <w:p w14:paraId="1BFE3D6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54" w:type="dxa"/>
            <w:vMerge w:val="continue"/>
            <w:tcBorders>
              <w:top w:val="nil"/>
            </w:tcBorders>
            <w:vAlign w:val="center"/>
          </w:tcPr>
          <w:p w14:paraId="2F5EE34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77" w:type="dxa"/>
            <w:vAlign w:val="center"/>
          </w:tcPr>
          <w:p w14:paraId="049C8512">
            <w:pPr>
              <w:pStyle w:val="8"/>
              <w:spacing w:before="78" w:line="361" w:lineRule="auto"/>
              <w:ind w:right="406"/>
              <w:jc w:val="center"/>
              <w:rPr>
                <w:spacing w:val="-4"/>
              </w:rPr>
            </w:pPr>
            <w:r>
              <w:rPr>
                <w:spacing w:val="-4"/>
              </w:rPr>
              <w:t>服务方案</w:t>
            </w:r>
          </w:p>
          <w:p w14:paraId="0C2D9D57">
            <w:pPr>
              <w:pStyle w:val="8"/>
              <w:spacing w:before="78" w:line="361" w:lineRule="auto"/>
              <w:ind w:right="406"/>
              <w:jc w:val="center"/>
            </w:pPr>
            <w:r>
              <w:rPr>
                <w:spacing w:val="13"/>
              </w:rPr>
              <w:t>（5分）</w:t>
            </w:r>
          </w:p>
        </w:tc>
        <w:tc>
          <w:tcPr>
            <w:tcW w:w="5741" w:type="dxa"/>
            <w:vAlign w:val="top"/>
          </w:tcPr>
          <w:p w14:paraId="1B4A8DAC">
            <w:pPr>
              <w:pStyle w:val="8"/>
              <w:spacing w:before="120" w:line="341" w:lineRule="auto"/>
              <w:ind w:left="15" w:right="3" w:hanging="5"/>
              <w:jc w:val="both"/>
            </w:pPr>
            <w:r>
              <w:rPr>
                <w:spacing w:val="8"/>
              </w:rPr>
              <w:t>根据供应商提供的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耕地质量评价报告</w:t>
            </w:r>
            <w:r>
              <w:rPr>
                <w:spacing w:val="8"/>
              </w:rPr>
              <w:t>编制</w:t>
            </w:r>
            <w:r>
              <w:rPr>
                <w:spacing w:val="-2"/>
              </w:rPr>
              <w:t>工作方案进行打分，包括工作思路、技术路线、编制方法、进度计划等。方案科学合理、思路清晰、可操作性强的得5分；方案较合理、基本可行的得3</w:t>
            </w:r>
            <w:r>
              <w:rPr>
                <w:rFonts w:hint="eastAsia"/>
                <w:spacing w:val="-2"/>
                <w:lang w:eastAsia="zh-CN"/>
              </w:rPr>
              <w:t>—</w:t>
            </w:r>
            <w:r>
              <w:rPr>
                <w:spacing w:val="-2"/>
              </w:rPr>
              <w:t>4分；方案一</w:t>
            </w:r>
            <w:r>
              <w:rPr>
                <w:spacing w:val="-1"/>
              </w:rPr>
              <w:t>般、可行性较差的得1</w:t>
            </w:r>
            <w:r>
              <w:rPr>
                <w:rFonts w:hint="eastAsia"/>
                <w:spacing w:val="-1"/>
                <w:lang w:eastAsia="zh-CN"/>
              </w:rPr>
              <w:t>—</w:t>
            </w:r>
            <w:r>
              <w:rPr>
                <w:spacing w:val="-1"/>
              </w:rPr>
              <w:t>2分；未提供的得0分。</w:t>
            </w:r>
          </w:p>
        </w:tc>
      </w:tr>
    </w:tbl>
    <w:p w14:paraId="5DF60DC2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2098" w:right="1474" w:bottom="1984" w:left="1587" w:header="0" w:footer="975" w:gutter="0"/>
          <w:pgNumType w:fmt="decimal"/>
          <w:cols w:space="720" w:num="1"/>
        </w:sectPr>
      </w:pPr>
    </w:p>
    <w:tbl>
      <w:tblPr>
        <w:tblStyle w:val="7"/>
        <w:tblW w:w="946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6"/>
        <w:gridCol w:w="1279"/>
        <w:gridCol w:w="1652"/>
        <w:gridCol w:w="5741"/>
      </w:tblGrid>
      <w:tr w14:paraId="221D17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796" w:type="dxa"/>
            <w:vAlign w:val="center"/>
          </w:tcPr>
          <w:p w14:paraId="21DD7433">
            <w:pPr>
              <w:pStyle w:val="8"/>
              <w:spacing w:before="289" w:line="480" w:lineRule="auto"/>
              <w:jc w:val="center"/>
            </w:pPr>
            <w:r>
              <w:rPr>
                <w:spacing w:val="-4"/>
              </w:rPr>
              <w:t>序号</w:t>
            </w:r>
          </w:p>
        </w:tc>
        <w:tc>
          <w:tcPr>
            <w:tcW w:w="2931" w:type="dxa"/>
            <w:gridSpan w:val="2"/>
            <w:vAlign w:val="center"/>
          </w:tcPr>
          <w:p w14:paraId="49B89C1D">
            <w:pPr>
              <w:pStyle w:val="8"/>
              <w:spacing w:before="289" w:line="480" w:lineRule="auto"/>
              <w:jc w:val="center"/>
            </w:pPr>
            <w:r>
              <w:rPr>
                <w:spacing w:val="-3"/>
              </w:rPr>
              <w:t>评审因素</w:t>
            </w:r>
          </w:p>
        </w:tc>
        <w:tc>
          <w:tcPr>
            <w:tcW w:w="5741" w:type="dxa"/>
            <w:vAlign w:val="top"/>
          </w:tcPr>
          <w:p w14:paraId="47D2454F">
            <w:pPr>
              <w:pStyle w:val="8"/>
              <w:spacing w:before="289" w:line="480" w:lineRule="auto"/>
              <w:ind w:left="2396"/>
            </w:pPr>
            <w:r>
              <w:rPr>
                <w:spacing w:val="-3"/>
              </w:rPr>
              <w:t>评审标准</w:t>
            </w:r>
          </w:p>
        </w:tc>
      </w:tr>
      <w:tr w14:paraId="332EB8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96" w:type="dxa"/>
            <w:vMerge w:val="restart"/>
            <w:tcBorders>
              <w:bottom w:val="nil"/>
            </w:tcBorders>
            <w:vAlign w:val="center"/>
          </w:tcPr>
          <w:p w14:paraId="337D132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restart"/>
            <w:tcBorders>
              <w:bottom w:val="nil"/>
            </w:tcBorders>
            <w:vAlign w:val="center"/>
          </w:tcPr>
          <w:p w14:paraId="5597569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52" w:type="dxa"/>
            <w:vAlign w:val="center"/>
          </w:tcPr>
          <w:p w14:paraId="08A3F0C7">
            <w:pPr>
              <w:pStyle w:val="8"/>
              <w:spacing w:before="78" w:line="214" w:lineRule="auto"/>
              <w:jc w:val="center"/>
            </w:pPr>
            <w:r>
              <w:rPr>
                <w:spacing w:val="-2"/>
              </w:rPr>
              <w:t>质量保证措施</w:t>
            </w:r>
          </w:p>
          <w:p w14:paraId="5F7CC631">
            <w:pPr>
              <w:pStyle w:val="8"/>
              <w:spacing w:before="190" w:line="217" w:lineRule="auto"/>
              <w:ind w:left="441"/>
              <w:jc w:val="both"/>
            </w:pPr>
            <w:r>
              <w:rPr>
                <w:spacing w:val="13"/>
              </w:rPr>
              <w:t>（5分）</w:t>
            </w:r>
          </w:p>
        </w:tc>
        <w:tc>
          <w:tcPr>
            <w:tcW w:w="5741" w:type="dxa"/>
            <w:vAlign w:val="top"/>
          </w:tcPr>
          <w:p w14:paraId="4690AFC5">
            <w:pPr>
              <w:pStyle w:val="8"/>
              <w:spacing w:before="113" w:line="337" w:lineRule="auto"/>
              <w:ind w:left="12" w:right="3" w:hanging="2"/>
            </w:pPr>
            <w:r>
              <w:rPr>
                <w:spacing w:val="-2"/>
              </w:rPr>
              <w:t>根据供应商提供的成果质量控制措施、内部审核机制、评审保障手段等进行打分。措施完善、机制健全、保障有力的得5分；措施较完善、基本可行的得3</w:t>
            </w:r>
            <w:r>
              <w:rPr>
                <w:rFonts w:hint="eastAsia"/>
                <w:spacing w:val="-2"/>
                <w:lang w:eastAsia="zh-CN"/>
              </w:rPr>
              <w:t>—</w:t>
            </w:r>
            <w:r>
              <w:rPr>
                <w:spacing w:val="-2"/>
              </w:rPr>
              <w:t>4分；措施</w:t>
            </w:r>
            <w:r>
              <w:rPr>
                <w:spacing w:val="-1"/>
              </w:rPr>
              <w:t>一般、保障较弱的得1</w:t>
            </w:r>
            <w:r>
              <w:rPr>
                <w:rFonts w:hint="eastAsia"/>
                <w:spacing w:val="-1"/>
                <w:lang w:eastAsia="zh-CN"/>
              </w:rPr>
              <w:t>—</w:t>
            </w:r>
            <w:r>
              <w:rPr>
                <w:spacing w:val="-1"/>
              </w:rPr>
              <w:t>2分；未提供的得0分。</w:t>
            </w:r>
          </w:p>
        </w:tc>
      </w:tr>
      <w:tr w14:paraId="75A1F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1" w:hRule="atLeast"/>
        </w:trPr>
        <w:tc>
          <w:tcPr>
            <w:tcW w:w="796" w:type="dxa"/>
            <w:vMerge w:val="continue"/>
            <w:tcBorders>
              <w:top w:val="nil"/>
              <w:bottom w:val="nil"/>
            </w:tcBorders>
            <w:vAlign w:val="center"/>
          </w:tcPr>
          <w:p w14:paraId="582AF92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continue"/>
            <w:tcBorders>
              <w:top w:val="nil"/>
              <w:bottom w:val="nil"/>
            </w:tcBorders>
            <w:vAlign w:val="center"/>
          </w:tcPr>
          <w:p w14:paraId="1E4E1B22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52" w:type="dxa"/>
            <w:vAlign w:val="center"/>
          </w:tcPr>
          <w:p w14:paraId="7C48496D">
            <w:pPr>
              <w:pStyle w:val="8"/>
              <w:spacing w:before="78" w:line="361" w:lineRule="auto"/>
              <w:ind w:right="166"/>
              <w:jc w:val="center"/>
            </w:pPr>
            <w:r>
              <w:rPr>
                <w:spacing w:val="-2"/>
              </w:rPr>
              <w:t>进度保障措施</w:t>
            </w:r>
            <w:r>
              <w:rPr>
                <w:spacing w:val="-4"/>
              </w:rPr>
              <w:t>（10分）</w:t>
            </w:r>
          </w:p>
        </w:tc>
        <w:tc>
          <w:tcPr>
            <w:tcW w:w="5741" w:type="dxa"/>
            <w:vAlign w:val="top"/>
          </w:tcPr>
          <w:p w14:paraId="457B0B90">
            <w:pPr>
              <w:pStyle w:val="8"/>
              <w:spacing w:before="117" w:line="341" w:lineRule="auto"/>
              <w:ind w:left="15" w:right="3" w:hanging="5"/>
              <w:jc w:val="both"/>
            </w:pPr>
            <w:r>
              <w:rPr>
                <w:spacing w:val="8"/>
              </w:rPr>
              <w:t>根据供应商提供的服务期限承诺及进度保障措施进行</w:t>
            </w:r>
            <w:r>
              <w:rPr>
                <w:spacing w:val="-2"/>
              </w:rPr>
              <w:t>打分，包括进度安排合理性、关键节点控制、逾期风险应对等。进度安排科学、保障措施具体的得10分；进度</w:t>
            </w:r>
            <w:r>
              <w:rPr>
                <w:spacing w:val="3"/>
              </w:rPr>
              <w:t>安排较合理、有基本保障措施的得6</w:t>
            </w:r>
            <w:r>
              <w:rPr>
                <w:rFonts w:hint="eastAsia"/>
                <w:spacing w:val="3"/>
                <w:lang w:eastAsia="zh-CN"/>
              </w:rPr>
              <w:t>—</w:t>
            </w:r>
            <w:r>
              <w:rPr>
                <w:spacing w:val="3"/>
              </w:rPr>
              <w:t>9分；进度安</w:t>
            </w:r>
            <w:r>
              <w:rPr>
                <w:spacing w:val="2"/>
              </w:rPr>
              <w:t>排一</w:t>
            </w:r>
            <w:r>
              <w:rPr>
                <w:spacing w:val="-1"/>
              </w:rPr>
              <w:t>般、保障措施较弱的得1</w:t>
            </w:r>
            <w:r>
              <w:rPr>
                <w:rFonts w:hint="eastAsia"/>
                <w:spacing w:val="-1"/>
                <w:lang w:eastAsia="zh-CN"/>
              </w:rPr>
              <w:t>—</w:t>
            </w:r>
            <w:r>
              <w:rPr>
                <w:spacing w:val="-1"/>
              </w:rPr>
              <w:t>5分；未提供的得0分。</w:t>
            </w:r>
          </w:p>
        </w:tc>
      </w:tr>
      <w:tr w14:paraId="09BA58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6" w:hRule="atLeast"/>
        </w:trPr>
        <w:tc>
          <w:tcPr>
            <w:tcW w:w="796" w:type="dxa"/>
            <w:vMerge w:val="continue"/>
            <w:tcBorders>
              <w:top w:val="nil"/>
            </w:tcBorders>
            <w:vAlign w:val="center"/>
          </w:tcPr>
          <w:p w14:paraId="6FADF8C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continue"/>
            <w:tcBorders>
              <w:top w:val="nil"/>
            </w:tcBorders>
            <w:vAlign w:val="center"/>
          </w:tcPr>
          <w:p w14:paraId="38315066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52" w:type="dxa"/>
            <w:vAlign w:val="center"/>
          </w:tcPr>
          <w:p w14:paraId="63EB899D">
            <w:pPr>
              <w:pStyle w:val="8"/>
              <w:spacing w:before="78" w:line="214" w:lineRule="auto"/>
              <w:jc w:val="center"/>
            </w:pPr>
            <w:r>
              <w:rPr>
                <w:spacing w:val="-3"/>
              </w:rPr>
              <w:t>后续服务承诺</w:t>
            </w:r>
          </w:p>
          <w:p w14:paraId="71B8C217">
            <w:pPr>
              <w:pStyle w:val="8"/>
              <w:spacing w:before="190" w:line="217" w:lineRule="auto"/>
              <w:ind w:left="441"/>
              <w:jc w:val="both"/>
            </w:pPr>
            <w:r>
              <w:rPr>
                <w:spacing w:val="13"/>
              </w:rPr>
              <w:t>（5分）</w:t>
            </w:r>
          </w:p>
        </w:tc>
        <w:tc>
          <w:tcPr>
            <w:tcW w:w="5741" w:type="dxa"/>
            <w:vAlign w:val="top"/>
          </w:tcPr>
          <w:p w14:paraId="55B040B2">
            <w:pPr>
              <w:pStyle w:val="8"/>
              <w:spacing w:before="118" w:line="336" w:lineRule="auto"/>
              <w:ind w:left="11" w:right="3" w:hanging="1"/>
            </w:pPr>
            <w:r>
              <w:rPr>
                <w:spacing w:val="-2"/>
              </w:rPr>
              <w:t>根据供应商提供的后续技术支持、评审配合、报批协助等服务承诺进行打分。承诺内容具体、响应及时、服务周到的得5分；承诺较具体、基本满足需求的得3</w:t>
            </w:r>
            <w:r>
              <w:rPr>
                <w:rFonts w:hint="eastAsia"/>
                <w:spacing w:val="-2"/>
                <w:lang w:eastAsia="zh-CN"/>
              </w:rPr>
              <w:t>—</w:t>
            </w:r>
            <w:r>
              <w:rPr>
                <w:spacing w:val="-2"/>
              </w:rPr>
              <w:t>4分；承诺一般、服务保障较弱的得1</w:t>
            </w:r>
            <w:r>
              <w:rPr>
                <w:rFonts w:hint="eastAsia"/>
                <w:spacing w:val="-2"/>
                <w:lang w:eastAsia="zh-CN"/>
              </w:rPr>
              <w:t>—</w:t>
            </w:r>
            <w:r>
              <w:rPr>
                <w:spacing w:val="-2"/>
              </w:rPr>
              <w:t>2分；未</w:t>
            </w:r>
            <w:r>
              <w:rPr>
                <w:spacing w:val="-3"/>
              </w:rPr>
              <w:t>提供的得0分。</w:t>
            </w:r>
          </w:p>
        </w:tc>
      </w:tr>
      <w:tr w14:paraId="61797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3" w:hRule="atLeast"/>
        </w:trPr>
        <w:tc>
          <w:tcPr>
            <w:tcW w:w="796" w:type="dxa"/>
            <w:vMerge w:val="restart"/>
            <w:tcBorders>
              <w:bottom w:val="nil"/>
            </w:tcBorders>
            <w:vAlign w:val="center"/>
          </w:tcPr>
          <w:p w14:paraId="2B4E07A2">
            <w:pPr>
              <w:pStyle w:val="8"/>
              <w:spacing w:before="78" w:line="242" w:lineRule="auto"/>
              <w:ind w:left="356"/>
              <w:jc w:val="both"/>
            </w:pPr>
            <w:r>
              <w:t>5</w:t>
            </w:r>
          </w:p>
        </w:tc>
        <w:tc>
          <w:tcPr>
            <w:tcW w:w="1279" w:type="dxa"/>
            <w:vMerge w:val="restart"/>
            <w:tcBorders>
              <w:bottom w:val="nil"/>
            </w:tcBorders>
            <w:vAlign w:val="center"/>
          </w:tcPr>
          <w:p w14:paraId="5CA668F6">
            <w:pPr>
              <w:pStyle w:val="8"/>
              <w:spacing w:before="78" w:line="361" w:lineRule="auto"/>
              <w:ind w:right="215"/>
              <w:jc w:val="center"/>
            </w:pPr>
            <w:r>
              <w:rPr>
                <w:spacing w:val="-7"/>
              </w:rPr>
              <w:t>综合部</w:t>
            </w:r>
            <w:r>
              <w:rPr>
                <w:spacing w:val="-3"/>
              </w:rPr>
              <w:t>分（30</w:t>
            </w:r>
            <w:r>
              <w:rPr>
                <w:spacing w:val="54"/>
              </w:rPr>
              <w:t>分）</w:t>
            </w:r>
          </w:p>
        </w:tc>
        <w:tc>
          <w:tcPr>
            <w:tcW w:w="1652" w:type="dxa"/>
            <w:vAlign w:val="center"/>
          </w:tcPr>
          <w:p w14:paraId="224EF10D">
            <w:pPr>
              <w:pStyle w:val="8"/>
              <w:spacing w:before="78" w:line="361" w:lineRule="auto"/>
              <w:ind w:right="380"/>
              <w:jc w:val="center"/>
              <w:rPr>
                <w:spacing w:val="-3"/>
              </w:rPr>
            </w:pPr>
            <w:r>
              <w:rPr>
                <w:spacing w:val="-3"/>
              </w:rPr>
              <w:t>企业资质</w:t>
            </w:r>
          </w:p>
          <w:p w14:paraId="3AA9984B">
            <w:pPr>
              <w:pStyle w:val="8"/>
              <w:spacing w:before="78" w:line="361" w:lineRule="auto"/>
              <w:ind w:right="380"/>
              <w:jc w:val="center"/>
            </w:pPr>
            <w:r>
              <w:rPr>
                <w:spacing w:val="-5"/>
              </w:rPr>
              <w:t>（10分）</w:t>
            </w:r>
          </w:p>
        </w:tc>
        <w:tc>
          <w:tcPr>
            <w:tcW w:w="5741" w:type="dxa"/>
            <w:vAlign w:val="top"/>
          </w:tcPr>
          <w:p w14:paraId="093CF586">
            <w:pPr>
              <w:pStyle w:val="8"/>
              <w:spacing w:before="118" w:line="328" w:lineRule="auto"/>
              <w:ind w:left="121" w:right="40" w:firstLine="17"/>
              <w:jc w:val="both"/>
            </w:pPr>
            <w:r>
              <w:rPr>
                <w:spacing w:val="-2"/>
                <w:highlight w:val="none"/>
              </w:rPr>
              <w:t>具备</w:t>
            </w:r>
            <w:r>
              <w:rPr>
                <w:rFonts w:hint="eastAsia"/>
                <w:spacing w:val="-2"/>
                <w:highlight w:val="none"/>
                <w:lang w:val="en-US" w:eastAsia="zh-CN"/>
              </w:rPr>
              <w:t>响应人须具备自然资源主管部门颁发的乙级测绘资质（专业类别须包含：工程测量、界线与不动产测绘、地理信息系统工程等）</w:t>
            </w:r>
            <w:r>
              <w:rPr>
                <w:spacing w:val="-11"/>
                <w:highlight w:val="none"/>
              </w:rPr>
              <w:t>得6分；具备甲级资质的加</w:t>
            </w:r>
            <w:r>
              <w:rPr>
                <w:rFonts w:hint="eastAsia"/>
                <w:spacing w:val="-11"/>
                <w:highlight w:val="none"/>
                <w:lang w:val="en-US" w:eastAsia="zh-CN"/>
              </w:rPr>
              <w:t>4</w:t>
            </w:r>
            <w:r>
              <w:rPr>
                <w:spacing w:val="-11"/>
                <w:highlight w:val="none"/>
              </w:rPr>
              <w:t>分。</w:t>
            </w:r>
          </w:p>
        </w:tc>
      </w:tr>
      <w:tr w14:paraId="4E94A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6" w:hRule="atLeast"/>
        </w:trPr>
        <w:tc>
          <w:tcPr>
            <w:tcW w:w="796" w:type="dxa"/>
            <w:vMerge w:val="continue"/>
            <w:tcBorders>
              <w:top w:val="nil"/>
              <w:bottom w:val="nil"/>
            </w:tcBorders>
            <w:vAlign w:val="center"/>
          </w:tcPr>
          <w:p w14:paraId="78F84825">
            <w:pPr>
              <w:jc w:val="center"/>
              <w:rPr>
                <w:rFonts w:ascii="Arial"/>
                <w:sz w:val="21"/>
              </w:rPr>
            </w:pPr>
            <w:bookmarkStart w:id="0" w:name="_GoBack" w:colFirst="3" w:colLast="3"/>
          </w:p>
        </w:tc>
        <w:tc>
          <w:tcPr>
            <w:tcW w:w="1279" w:type="dxa"/>
            <w:vMerge w:val="continue"/>
            <w:tcBorders>
              <w:top w:val="nil"/>
              <w:bottom w:val="nil"/>
            </w:tcBorders>
            <w:vAlign w:val="center"/>
          </w:tcPr>
          <w:p w14:paraId="32F7BA3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52" w:type="dxa"/>
            <w:vAlign w:val="center"/>
          </w:tcPr>
          <w:p w14:paraId="31087BD0">
            <w:pPr>
              <w:pStyle w:val="8"/>
              <w:spacing w:before="78" w:line="361" w:lineRule="auto"/>
              <w:ind w:right="380"/>
              <w:jc w:val="center"/>
              <w:rPr>
                <w:spacing w:val="-3"/>
              </w:rPr>
            </w:pPr>
            <w:r>
              <w:rPr>
                <w:spacing w:val="-3"/>
              </w:rPr>
              <w:t>企业业绩</w:t>
            </w:r>
          </w:p>
          <w:p w14:paraId="1BC8A0B3">
            <w:pPr>
              <w:pStyle w:val="8"/>
              <w:spacing w:before="78" w:line="361" w:lineRule="auto"/>
              <w:ind w:right="380"/>
              <w:jc w:val="center"/>
            </w:pPr>
            <w:r>
              <w:rPr>
                <w:spacing w:val="-5"/>
              </w:rPr>
              <w:t>（10分）</w:t>
            </w:r>
          </w:p>
        </w:tc>
        <w:tc>
          <w:tcPr>
            <w:tcW w:w="5741" w:type="dxa"/>
            <w:vAlign w:val="top"/>
          </w:tcPr>
          <w:p w14:paraId="1B40CE47">
            <w:pPr>
              <w:pStyle w:val="8"/>
              <w:spacing w:before="118" w:line="328" w:lineRule="auto"/>
              <w:ind w:left="121" w:right="40" w:firstLine="17"/>
              <w:jc w:val="both"/>
              <w:rPr>
                <w:spacing w:val="-2"/>
                <w:highlight w:val="none"/>
              </w:rPr>
            </w:pPr>
            <w:r>
              <w:rPr>
                <w:spacing w:val="-2"/>
                <w:highlight w:val="none"/>
              </w:rPr>
              <w:t>近五年（自2021年</w:t>
            </w:r>
            <w:r>
              <w:rPr>
                <w:rFonts w:hint="eastAsia"/>
                <w:spacing w:val="-2"/>
                <w:highlight w:val="none"/>
                <w:lang w:val="en-US" w:eastAsia="zh-CN"/>
              </w:rPr>
              <w:t>7</w:t>
            </w:r>
            <w:r>
              <w:rPr>
                <w:spacing w:val="-2"/>
                <w:highlight w:val="none"/>
              </w:rPr>
              <w:t>月1日以来）承接过</w:t>
            </w:r>
            <w:r>
              <w:rPr>
                <w:rFonts w:hint="eastAsia"/>
                <w:spacing w:val="-2"/>
                <w:highlight w:val="none"/>
                <w:lang w:val="en-US" w:eastAsia="zh-CN"/>
              </w:rPr>
              <w:t>耕地质量评价报告</w:t>
            </w:r>
            <w:r>
              <w:rPr>
                <w:spacing w:val="-2"/>
                <w:highlight w:val="none"/>
              </w:rPr>
              <w:t>编制</w:t>
            </w:r>
            <w:r>
              <w:rPr>
                <w:rFonts w:hint="eastAsia"/>
                <w:spacing w:val="-2"/>
                <w:highlight w:val="none"/>
                <w:lang w:val="en-US" w:eastAsia="zh-CN"/>
              </w:rPr>
              <w:t>或高标准农田规划方案编制</w:t>
            </w:r>
            <w:r>
              <w:rPr>
                <w:spacing w:val="-2"/>
                <w:highlight w:val="none"/>
              </w:rPr>
              <w:t>业绩的，每提供一份有效业绩证明材料（合同或批复文件复印件，加盖公章）得2</w:t>
            </w:r>
            <w:r>
              <w:rPr>
                <w:rFonts w:hint="eastAsia"/>
                <w:spacing w:val="-2"/>
                <w:highlight w:val="none"/>
                <w:lang w:val="en-US" w:eastAsia="zh-CN"/>
              </w:rPr>
              <w:t>.5</w:t>
            </w:r>
            <w:r>
              <w:rPr>
                <w:spacing w:val="-2"/>
                <w:highlight w:val="none"/>
              </w:rPr>
              <w:t>分，本项最高得10分。</w:t>
            </w:r>
          </w:p>
        </w:tc>
      </w:tr>
      <w:tr w14:paraId="1C235F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3" w:hRule="atLeast"/>
        </w:trPr>
        <w:tc>
          <w:tcPr>
            <w:tcW w:w="796" w:type="dxa"/>
            <w:vMerge w:val="continue"/>
            <w:tcBorders>
              <w:top w:val="nil"/>
            </w:tcBorders>
            <w:vAlign w:val="center"/>
          </w:tcPr>
          <w:p w14:paraId="78F4DFF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79" w:type="dxa"/>
            <w:vMerge w:val="continue"/>
            <w:tcBorders>
              <w:top w:val="nil"/>
            </w:tcBorders>
            <w:vAlign w:val="center"/>
          </w:tcPr>
          <w:p w14:paraId="63FADFD5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52" w:type="dxa"/>
            <w:vAlign w:val="center"/>
          </w:tcPr>
          <w:p w14:paraId="1D5C5BF2">
            <w:pPr>
              <w:pStyle w:val="8"/>
              <w:spacing w:before="78" w:line="361" w:lineRule="auto"/>
              <w:ind w:right="286"/>
              <w:jc w:val="center"/>
              <w:rPr>
                <w:spacing w:val="-3"/>
              </w:rPr>
            </w:pPr>
            <w:r>
              <w:rPr>
                <w:spacing w:val="-3"/>
              </w:rPr>
              <w:t>项目负责人</w:t>
            </w:r>
          </w:p>
          <w:p w14:paraId="4A9FC62B">
            <w:pPr>
              <w:pStyle w:val="8"/>
              <w:spacing w:before="78" w:line="361" w:lineRule="auto"/>
              <w:ind w:right="286"/>
              <w:jc w:val="center"/>
            </w:pPr>
            <w:r>
              <w:rPr>
                <w:spacing w:val="-4"/>
              </w:rPr>
              <w:t>（10分）</w:t>
            </w:r>
          </w:p>
        </w:tc>
        <w:tc>
          <w:tcPr>
            <w:tcW w:w="5741" w:type="dxa"/>
            <w:vAlign w:val="top"/>
          </w:tcPr>
          <w:p w14:paraId="7438939B">
            <w:pPr>
              <w:pStyle w:val="8"/>
              <w:spacing w:before="118" w:line="328" w:lineRule="auto"/>
              <w:ind w:left="121" w:right="40" w:firstLine="17"/>
              <w:jc w:val="both"/>
              <w:rPr>
                <w:spacing w:val="-2"/>
                <w:highlight w:val="none"/>
              </w:rPr>
            </w:pPr>
            <w:r>
              <w:rPr>
                <w:spacing w:val="-2"/>
                <w:highlight w:val="none"/>
              </w:rPr>
              <w:t>项目负责人具有</w:t>
            </w:r>
            <w:r>
              <w:rPr>
                <w:rFonts w:hint="eastAsia"/>
                <w:spacing w:val="-2"/>
                <w:highlight w:val="none"/>
                <w:lang w:val="en-US" w:eastAsia="zh-CN"/>
              </w:rPr>
              <w:t>测绘类</w:t>
            </w:r>
            <w:r>
              <w:rPr>
                <w:spacing w:val="-2"/>
                <w:highlight w:val="none"/>
              </w:rPr>
              <w:t>高级工程师及以上职称的得8分；具有</w:t>
            </w:r>
            <w:r>
              <w:rPr>
                <w:rFonts w:hint="eastAsia"/>
                <w:spacing w:val="-2"/>
                <w:highlight w:val="none"/>
                <w:lang w:val="en-US" w:eastAsia="zh-CN"/>
              </w:rPr>
              <w:t>测绘类</w:t>
            </w:r>
            <w:r>
              <w:rPr>
                <w:spacing w:val="-2"/>
                <w:highlight w:val="none"/>
              </w:rPr>
              <w:t>中级工程师职称的得4分；同时具有</w:t>
            </w:r>
            <w:r>
              <w:rPr>
                <w:rFonts w:hint="eastAsia"/>
                <w:spacing w:val="-2"/>
                <w:highlight w:val="none"/>
                <w:lang w:val="en-US" w:eastAsia="zh-CN"/>
              </w:rPr>
              <w:t>地理信息安全保密培训合</w:t>
            </w:r>
            <w:r>
              <w:rPr>
                <w:spacing w:val="-2"/>
                <w:highlight w:val="none"/>
              </w:rPr>
              <w:t>格</w:t>
            </w:r>
            <w:r>
              <w:rPr>
                <w:rFonts w:hint="eastAsia"/>
                <w:spacing w:val="-2"/>
                <w:highlight w:val="none"/>
                <w:lang w:val="en-US" w:eastAsia="zh-CN"/>
              </w:rPr>
              <w:t>证书</w:t>
            </w:r>
            <w:r>
              <w:rPr>
                <w:spacing w:val="-2"/>
                <w:highlight w:val="none"/>
              </w:rPr>
              <w:t>的加2分。需提供职称证书及</w:t>
            </w:r>
            <w:r>
              <w:rPr>
                <w:rFonts w:hint="eastAsia"/>
                <w:spacing w:val="-2"/>
                <w:highlight w:val="none"/>
                <w:lang w:val="en-US" w:eastAsia="zh-CN"/>
              </w:rPr>
              <w:t>培训合</w:t>
            </w:r>
            <w:r>
              <w:rPr>
                <w:spacing w:val="-2"/>
                <w:highlight w:val="none"/>
              </w:rPr>
              <w:t>证书复印件、近三个月社保证明。</w:t>
            </w:r>
          </w:p>
        </w:tc>
      </w:tr>
      <w:bookmarkEnd w:id="0"/>
      <w:tr w14:paraId="4B271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2" w:hRule="atLeast"/>
        </w:trPr>
        <w:tc>
          <w:tcPr>
            <w:tcW w:w="9468" w:type="dxa"/>
            <w:gridSpan w:val="4"/>
            <w:vAlign w:val="top"/>
          </w:tcPr>
          <w:p w14:paraId="32ACDAF1">
            <w:pPr>
              <w:pStyle w:val="8"/>
              <w:spacing w:before="118" w:line="329" w:lineRule="auto"/>
              <w:ind w:left="111" w:right="106"/>
              <w:jc w:val="both"/>
            </w:pPr>
            <w:r>
              <w:rPr>
                <w:spacing w:val="-3"/>
              </w:rPr>
              <w:t>供应商的最终得分：在各位评委完成对响应总报价、技术部分、综合部分的汇总后，评委打分的算术平均值，作为该供应商的最终得分。本办法计算过程中分值按四舍五入保留两</w:t>
            </w:r>
            <w:r>
              <w:rPr>
                <w:spacing w:val="-2"/>
              </w:rPr>
              <w:t>位小数。</w:t>
            </w:r>
          </w:p>
        </w:tc>
      </w:tr>
    </w:tbl>
    <w:p w14:paraId="6BB2A860">
      <w:pPr>
        <w:rPr>
          <w:rFonts w:ascii="Arial"/>
          <w:sz w:val="21"/>
        </w:rPr>
      </w:pPr>
    </w:p>
    <w:sectPr>
      <w:footerReference r:id="rId7" w:type="default"/>
      <w:pgSz w:w="11906" w:h="16839"/>
      <w:pgMar w:top="1431" w:right="1008" w:bottom="1341" w:left="1424" w:header="0" w:footer="975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ECC7F5">
    <w:pPr>
      <w:spacing w:line="235" w:lineRule="auto"/>
      <w:ind w:left="8046"/>
      <w:rPr>
        <w:rFonts w:ascii="FangSong_GB2312" w:hAnsi="FangSong_GB2312" w:eastAsia="FangSong_GB2312" w:cs="FangSong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8326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26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9DD578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53.8pt;mso-position-horizontal:center;mso-position-horizontal-relative:margin;z-index:251659264;mso-width-relative:page;mso-height-relative:page;" filled="f" stroked="f" coordsize="21600,21600" o:gfxdata="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LPvkGdQAAAAFAQAADwAAAAAAAAABACAAAAAiAAAAZHJzL2Rvd25yZXYueG1s&#10;UEsBAhQAFAAAAAgAh07iQGL3dO01AgAAYgQAAA4AAAAAAAAAAQAgAAAAI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9DD578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FC2CFF">
    <w:pPr>
      <w:spacing w:line="235" w:lineRule="auto"/>
      <w:rPr>
        <w:rFonts w:ascii="FangSong_GB2312" w:hAnsi="FangSong_GB2312" w:eastAsia="FangSong_GB2312" w:cs="FangSong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83895" cy="26416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389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0322B8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8pt;width:53.85pt;mso-position-horizontal:center;mso-position-horizontal-relative:margin;z-index:251660288;mso-width-relative:page;mso-height-relative:page;" filled="f" stroked="f" coordsize="21600,21600" o:gfxdata="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IZDMWbTAAAABAEAAA8AAAAAAAAAAQAgAAAAIgAAAGRycy9kb3ducmV2Lnht&#10;bFBLAQIUABQAAAAIAIdO4kCLlsjlNwIAAGEEAAAOAAAAAAAAAAEAIAAAACI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3F0322B8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A9A74">
    <w:pPr>
      <w:spacing w:line="235" w:lineRule="auto"/>
      <w:rPr>
        <w:rFonts w:ascii="FangSong_GB2312" w:hAnsi="FangSong_GB2312" w:eastAsia="FangSong_GB2312" w:cs="FangSong_GB2312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2009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009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C06417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56.7pt;mso-position-horizontal:center;mso-position-horizontal-relative:margin;z-index:251661312;mso-width-relative:page;mso-height-relative:page;" filled="f" stroked="f" coordsize="21600,21600" o:gfxdata="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PgIFx1AAAAAUBAAAPAAAAAAAAAAEAIAAAACIAAABkcnMvZG93bnJldi54&#10;bWxQSwECFAAUAAAACACHTuJAhTDAKTcCAABiBAAADgAAAAAAAAABACAAAAAj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0C06417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FA1F99"/>
    <w:rsid w:val="025F42E5"/>
    <w:rsid w:val="076B1CFB"/>
    <w:rsid w:val="0DBB1723"/>
    <w:rsid w:val="103769DF"/>
    <w:rsid w:val="116D508C"/>
    <w:rsid w:val="1ECB5101"/>
    <w:rsid w:val="264A3364"/>
    <w:rsid w:val="266E6322"/>
    <w:rsid w:val="2B340561"/>
    <w:rsid w:val="35CD7D43"/>
    <w:rsid w:val="3F4F50C3"/>
    <w:rsid w:val="40F167F2"/>
    <w:rsid w:val="45835153"/>
    <w:rsid w:val="49C33B4A"/>
    <w:rsid w:val="4B8708D2"/>
    <w:rsid w:val="4D07114B"/>
    <w:rsid w:val="5BFD2097"/>
    <w:rsid w:val="5F44453C"/>
    <w:rsid w:val="61235CD8"/>
    <w:rsid w:val="670E25DC"/>
    <w:rsid w:val="6A5223C8"/>
    <w:rsid w:val="6B025962"/>
    <w:rsid w:val="6E95181D"/>
    <w:rsid w:val="74065739"/>
    <w:rsid w:val="75CA6914"/>
    <w:rsid w:val="771C79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7d4c6c19-d435-4955-9431-34c402ab81b1</errorID>
      <errorWord>(</errorWord>
      <group>L1_Format</group>
      <groupName>格式问题</groupName>
      <ability>L2_HalfPunc_CN</ability>
      <abilityName/>
      <candidateList>
        <item>（</item>
      </candidateList>
      <explain>文本全半角错误。</explain>
      <paraID>2627CE7A</paraID>
      <start>0</start>
      <end>1</end>
      <status>modified</status>
      <modifiedWord>（</modifiedWord>
      <trackRevisions>false</trackRevisions>
    </reviewItem>
    <reviewItem>
      <errorID>9ab0051f-0476-437f-8d20-4a7332c1eead</errorID>
      <errorWord>)</errorWord>
      <group>L1_Format</group>
      <groupName>格式问题</groupName>
      <ability>L2_HalfPunc_CN</ability>
      <abilityName/>
      <candidateList>
        <item>）</item>
      </candidateList>
      <explain>文本全半角错误。</explain>
      <paraID>2627CE7A</paraID>
      <start>7</start>
      <end>8</end>
      <status>modified</status>
      <modifiedWord>）</modifiedWord>
      <trackRevisions>false</trackRevisions>
    </reviewItem>
    <reviewItem>
      <errorID>62117c35-e994-48a1-a639-2986c051d32d</errorID>
      <errorWord>（</errorWord>
      <group>L1_Punc</group>
      <groupName>标点问题</groupName>
      <ability>L2_Punc_CN</ability>
      <abilityName/>
      <candidateList/>
      <explain>同一形式括号套用。</explain>
      <paraID> 615558B</paraID>
      <start>18</start>
      <end>19</end>
      <status>ignored</status>
      <modifiedWord/>
      <trackRevisions>false</trackRevisions>
    </reviewItem>
    <reviewItem>
      <errorID>4c65fe33-6771-4b2f-8847-f5c03f0be357</errorID>
      <errorWord>）</errorWord>
      <group>L1_Punc</group>
      <groupName>标点问题</groupName>
      <ability>L2_Punc_CN</ability>
      <abilityName/>
      <candidateList/>
      <explain>同一形式括号套用。</explain>
      <paraID> 615558B</paraID>
      <start>24</start>
      <end>25</end>
      <status>ignored</status>
      <modifiedWord/>
      <trackRevisions>false</trackRevisions>
    </reviewItem>
    <reviewItem>
      <errorID>00f408b8-6990-4919-aee4-f63ef6f984ae</errorID>
      <errorWord>（</errorWord>
      <group>L1_Punc</group>
      <groupName>标点问题</groupName>
      <ability>L2_Punc_CN</ability>
      <abilityName/>
      <candidateList/>
      <explain>同一形式括号套用。</explain>
      <paraID>42A959E4</paraID>
      <start>18</start>
      <end>19</end>
      <status>ignored</status>
      <modifiedWord/>
      <trackRevisions>false</trackRevisions>
    </reviewItem>
    <reviewItem>
      <errorID>9f7f5334-2e18-46de-b2d9-282d24c5170e</errorID>
      <errorWord>）</errorWord>
      <group>L1_Punc</group>
      <groupName>标点问题</groupName>
      <ability>L2_Punc_CN</ability>
      <abilityName/>
      <candidateList/>
      <explain>同一形式括号套用。</explain>
      <paraID>42A959E4</paraID>
      <start>24</start>
      <end>25</end>
      <status>ignored</status>
      <modifiedWord/>
      <trackRevisions>false</trackRevisions>
    </reviewItem>
    <reviewItem>
      <errorID>d4f386f1-f88a-40b1-8de9-fe70618c1f7b</errorID>
      <errorWord>（</errorWord>
      <group>L1_Punc</group>
      <groupName>标点问题</groupName>
      <ability>L2_Punc_CN</ability>
      <abilityName/>
      <candidateList/>
      <explain>同一形式括号套用。</explain>
      <paraID>37B506F7</paraID>
      <start>18</start>
      <end>19</end>
      <status>ignored</status>
      <modifiedWord/>
      <trackRevisions>false</trackRevisions>
    </reviewItem>
    <reviewItem>
      <errorID>fe4fcac9-bc8e-46b8-bad5-7748acdc14ee</errorID>
      <errorWord>）</errorWord>
      <group>L1_Punc</group>
      <groupName>标点问题</groupName>
      <ability>L2_Punc_CN</ability>
      <abilityName/>
      <candidateList/>
      <explain>同一形式括号套用。</explain>
      <paraID>37B506F7</paraID>
      <start>24</start>
      <end>25</end>
      <status>ignored</status>
      <modifiedWord/>
      <trackRevisions>false</trackRevisions>
    </reviewItem>
    <reviewItem>
      <errorID>8c35942e-be66-4ef0-880f-bbe9e951204b</errorID>
      <errorWord>二位</errorWord>
      <group>L1_Word</group>
      <groupName>字词问题</groupName>
      <ability>L2_Typo</ability>
      <abilityName>字词错误</abilityName>
      <candidateList>
        <item>两位</item>
      </candidateList>
      <explain/>
      <paraID>60CA9568</paraID>
      <start>12</start>
      <end>14</end>
      <status>modified</status>
      <modifiedWord>两位</modifiedWord>
      <trackRevisions>false</trackRevisions>
    </reviewItem>
    <reviewItem>
      <errorID>556bcdd1-2d6f-4823-89b1-aaa29f391e6a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4CA56E5D</paraID>
      <start>53</start>
      <end>54</end>
      <status>modified</status>
      <modifiedWord>—</modifiedWord>
      <trackRevisions>false</trackRevisions>
    </reviewItem>
    <reviewItem>
      <errorID>39d78ba5-827f-4412-b276-2de20030ee7a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4CA56E5D</paraID>
      <start>72</start>
      <end>73</end>
      <status>modified</status>
      <modifiedWord>—</modifiedWord>
      <trackRevisions>false</trackRevisions>
    </reviewItem>
    <reviewItem>
      <errorID>b6f16197-4e93-4f5d-b9c1-bf30528f7f2e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4CA56E5D</paraID>
      <start>88</start>
      <end>89</end>
      <status>modified</status>
      <modifiedWord>—</modifiedWord>
      <trackRevisions>false</trackRevisions>
    </reviewItem>
    <reviewItem>
      <errorID>3f14ad40-86cc-4199-96df-c14076b4800b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1B4A8DAC</paraID>
      <start>84</start>
      <end>85</end>
      <status>modified</status>
      <modifiedWord>—</modifiedWord>
      <trackRevisions>false</trackRevisions>
    </reviewItem>
    <reviewItem>
      <errorID>5538803a-bf00-4712-bbce-3e21243a0cf1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1B4A8DAC</paraID>
      <start>101</start>
      <end>102</end>
      <status>modified</status>
      <modifiedWord>—</modifiedWord>
      <trackRevisions>false</trackRevisions>
    </reviewItem>
    <reviewItem>
      <errorID>909ab0a8-2e91-45df-bcda-b86f618b07e2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4690AFC5</paraID>
      <start>68</start>
      <end>69</end>
      <status>modified</status>
      <modifiedWord>—</modifiedWord>
      <trackRevisions>false</trackRevisions>
    </reviewItem>
    <reviewItem>
      <errorID>f861ead8-3107-4dc6-b238-9f01aca41571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4690AFC5</paraID>
      <start>84</start>
      <end>85</end>
      <status>modified</status>
      <modifiedWord>—</modifiedWord>
      <trackRevisions>false</trackRevisions>
    </reviewItem>
    <reviewItem>
      <errorID>42a13622-2dbd-480d-a48b-bf3b9e7a5aa6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457B0B90</paraID>
      <start>88</start>
      <end>89</end>
      <status>modified</status>
      <modifiedWord>—</modifiedWord>
      <trackRevisions>false</trackRevisions>
    </reviewItem>
    <reviewItem>
      <errorID>426bcdf2-8e52-4c33-9b43-26575c59bd84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457B0B90</paraID>
      <start>108</start>
      <end>109</end>
      <status>modified</status>
      <modifiedWord>—</modifiedWord>
      <trackRevisions>false</trackRevisions>
    </reviewItem>
    <reviewItem>
      <errorID>6ef3ab38-d709-4400-96c6-9c3b8c4c2bc1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55B040B2</paraID>
      <start>70</start>
      <end>71</end>
      <status>modified</status>
      <modifiedWord>—</modifiedWord>
      <trackRevisions>false</trackRevisions>
    </reviewItem>
    <reviewItem>
      <errorID>9f956ff9-f4a0-4eec-8554-307c94c4d2b3</errorID>
      <errorWord>-</errorWord>
      <group>L1_Punc</group>
      <groupName>标点问题</groupName>
      <ability>L2_Punc_CN</ability>
      <abilityName/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55B040B2</paraID>
      <start>88</start>
      <end>89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19c1739-94d8-47a9-be4f-a79803daa8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1643</Words>
  <Characters>1686</Characters>
  <TotalTime>3</TotalTime>
  <ScaleCrop>false</ScaleCrop>
  <LinksUpToDate>false</LinksUpToDate>
  <CharactersWithSpaces>1686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2026-06-26T17:57:00Z</dcterms:created>
  <dc:creator>1</dc:creator>
  <cp:lastModifiedBy>菲儿</cp:lastModifiedBy>
  <dcterms:modified xsi:type="dcterms:W3CDTF">2026-07-10T10:03:01Z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2026-06-29T16:41:31Z</vt:filetime>
  </property>
  <property fmtid="{D5CDD505-2E9C-101B-9397-08002B2CF9AE}" pid="4" name="KSOTemplateDocerSaveRecord">
    <vt:lpwstr>eyJoZGlkIjoiNTllOWU1NTZjYzgwNGM0MmMzNTNmNjcyNjMzZmZjNGEiLCJ1c2VySWQiOiIxNDExMjc3ODg4In0=</vt:lpwstr>
  </property>
  <property fmtid="{D5CDD505-2E9C-101B-9397-08002B2CF9AE}" pid="5" name="KSOProductBuildVer">
    <vt:lpwstr>2052-12.1.0.26895</vt:lpwstr>
  </property>
  <property fmtid="{D5CDD505-2E9C-101B-9397-08002B2CF9AE}" pid="6" name="ICV">
    <vt:lpwstr>0D1D929D3B1F465ABA68228DD6AE85D6_12</vt:lpwstr>
  </property>
</Properties>
</file>