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42DE">
      <w:pPr>
        <w:rPr>
          <w:color w:val="auto"/>
          <w:highlight w:val="none"/>
        </w:rPr>
      </w:pPr>
      <mc:AlternateContent>
        <mc:Choice Requires="wpsCustomData">
          <wpsCustomData:docfieldStart id="0" docfieldname="附件_2" hidden="0" print="1" readonly="0" index="2"/>
        </mc:Choice>
      </mc:AlternateContent>
    </w:p>
    <mc:AlternateContent>
      <mc:Choice Requires="wpsCustomData">
        <wpsCustomData:docfieldEnd id="0"/>
      </mc:Choice>
    </mc:AlternateContent>
    <w:p w14:paraId="2B6C5C3D">
      <w:pPr>
        <w:pStyle w:val="2"/>
        <w:rPr>
          <w:rFonts w:hint="eastAsia"/>
          <w:color w:val="auto"/>
          <w:lang w:val="en-US" w:eastAsia="zh-CN"/>
        </w:rPr>
      </w:pPr>
    </w:p>
    <w:p w14:paraId="189B15AE">
      <w:pPr>
        <w:pStyle w:val="22"/>
        <w:widowControl/>
        <w:rPr>
          <w:rFonts w:hint="eastAsia" w:ascii="黑体" w:hAnsi="黑体" w:eastAsia="黑体" w:cs="黑体"/>
          <w:color w:val="auto"/>
          <w:spacing w:val="0"/>
          <w:kern w:val="2"/>
          <w:sz w:val="32"/>
          <w:szCs w:val="32"/>
          <w:highlight w:val="none"/>
          <w:u w:val="single"/>
          <w:lang w:val="en-US" w:eastAsia="zh-CN" w:bidi="ar-SA"/>
        </w:rPr>
      </w:pPr>
      <w:bookmarkStart w:id="0" w:name="_GoBack"/>
      <w:r>
        <w:rPr>
          <w:rFonts w:hint="eastAsia" w:ascii="黑体" w:hAnsi="黑体" w:eastAsia="黑体" w:cs="黑体"/>
          <w:color w:val="auto"/>
          <w:spacing w:val="0"/>
          <w:kern w:val="2"/>
          <w:sz w:val="32"/>
          <w:szCs w:val="32"/>
          <w:highlight w:val="none"/>
          <w:u w:val="single"/>
          <w:lang w:val="en-US" w:eastAsia="zh-CN" w:bidi="ar-SA"/>
        </w:rPr>
        <w:t>郑州航空大都市商业管理有限公司选聘商业前期策划服务商项目</w:t>
      </w:r>
    </w:p>
    <w:bookmarkEnd w:id="0"/>
    <w:p w14:paraId="3913319F">
      <w:pPr>
        <w:pStyle w:val="4"/>
        <w:ind w:firstLine="2800" w:firstLineChars="500"/>
        <w:rPr>
          <w:rFonts w:hint="eastAsia" w:ascii="黑体" w:hAnsi="黑体" w:eastAsia="黑体" w:cs="黑体"/>
          <w:color w:val="auto"/>
          <w:sz w:val="56"/>
          <w:szCs w:val="56"/>
          <w:highlight w:val="none"/>
          <w:u w:val="none"/>
          <w:lang w:val="en-US" w:eastAsia="zh-CN"/>
        </w:rPr>
      </w:pPr>
      <w:r>
        <w:rPr>
          <w:rFonts w:hint="eastAsia" w:ascii="黑体" w:hAnsi="黑体" w:eastAsia="黑体" w:cs="黑体"/>
          <w:color w:val="auto"/>
          <w:sz w:val="56"/>
          <w:szCs w:val="56"/>
          <w:highlight w:val="none"/>
          <w:u w:val="none"/>
          <w:lang w:val="en-US" w:eastAsia="zh-CN"/>
        </w:rPr>
        <w:t>响应文件</w:t>
      </w:r>
    </w:p>
    <w:p w14:paraId="59B24397">
      <w:pPr>
        <w:pStyle w:val="4"/>
        <w:rPr>
          <w:rFonts w:hint="eastAsia" w:ascii="黑体" w:hAnsi="黑体" w:eastAsia="黑体" w:cs="黑体"/>
          <w:color w:val="auto"/>
          <w:sz w:val="32"/>
          <w:szCs w:val="32"/>
          <w:highlight w:val="none"/>
          <w:lang w:val="en-US" w:eastAsia="zh-CN"/>
        </w:rPr>
      </w:pPr>
    </w:p>
    <w:p w14:paraId="04C65371">
      <w:pPr>
        <w:rPr>
          <w:rFonts w:hint="eastAsia" w:ascii="黑体" w:hAnsi="黑体" w:eastAsia="黑体" w:cs="黑体"/>
          <w:color w:val="auto"/>
          <w:sz w:val="32"/>
          <w:szCs w:val="32"/>
          <w:highlight w:val="none"/>
          <w:lang w:val="en-US" w:eastAsia="zh-CN"/>
        </w:rPr>
      </w:pPr>
    </w:p>
    <w:p w14:paraId="458280E9">
      <w:pPr>
        <w:pStyle w:val="2"/>
        <w:rPr>
          <w:rFonts w:hint="eastAsia" w:ascii="黑体" w:hAnsi="黑体" w:eastAsia="黑体" w:cs="黑体"/>
          <w:color w:val="auto"/>
          <w:sz w:val="32"/>
          <w:szCs w:val="32"/>
          <w:highlight w:val="none"/>
          <w:lang w:val="en-US" w:eastAsia="zh-CN"/>
        </w:rPr>
      </w:pPr>
    </w:p>
    <w:p w14:paraId="082EBD32">
      <w:pPr>
        <w:pStyle w:val="4"/>
        <w:rPr>
          <w:rFonts w:hint="eastAsia" w:ascii="黑体" w:hAnsi="黑体" w:eastAsia="黑体" w:cs="黑体"/>
          <w:color w:val="auto"/>
          <w:sz w:val="32"/>
          <w:szCs w:val="32"/>
          <w:highlight w:val="none"/>
          <w:lang w:val="en-US" w:eastAsia="zh-CN"/>
        </w:rPr>
      </w:pPr>
    </w:p>
    <w:p w14:paraId="4C3A7E43">
      <w:pPr>
        <w:rPr>
          <w:rFonts w:hint="eastAsia" w:ascii="黑体" w:hAnsi="黑体" w:eastAsia="黑体" w:cs="黑体"/>
          <w:color w:val="auto"/>
          <w:sz w:val="32"/>
          <w:szCs w:val="32"/>
          <w:highlight w:val="none"/>
          <w:lang w:val="en-US" w:eastAsia="zh-CN"/>
        </w:rPr>
      </w:pPr>
    </w:p>
    <w:p w14:paraId="0EA5ABB6">
      <w:pPr>
        <w:pStyle w:val="2"/>
        <w:rPr>
          <w:rFonts w:hint="eastAsia" w:ascii="黑体" w:hAnsi="黑体" w:eastAsia="黑体" w:cs="黑体"/>
          <w:color w:val="auto"/>
          <w:sz w:val="32"/>
          <w:szCs w:val="32"/>
          <w:highlight w:val="none"/>
          <w:lang w:val="en-US" w:eastAsia="zh-CN"/>
        </w:rPr>
      </w:pPr>
    </w:p>
    <w:p w14:paraId="08055631">
      <w:pPr>
        <w:pStyle w:val="4"/>
        <w:rPr>
          <w:rFonts w:hint="eastAsia" w:ascii="黑体" w:hAnsi="黑体" w:eastAsia="黑体" w:cs="黑体"/>
          <w:color w:val="auto"/>
          <w:sz w:val="32"/>
          <w:szCs w:val="32"/>
          <w:highlight w:val="none"/>
          <w:lang w:val="en-US" w:eastAsia="zh-CN"/>
        </w:rPr>
      </w:pPr>
    </w:p>
    <w:p w14:paraId="0874158B">
      <w:pPr>
        <w:ind w:firstLine="1600" w:firstLineChars="500"/>
        <w:rPr>
          <w:rFonts w:hint="default" w:ascii="黑体" w:hAnsi="黑体" w:eastAsia="黑体" w:cs="黑体"/>
          <w:color w:val="auto"/>
          <w:sz w:val="32"/>
          <w:szCs w:val="32"/>
          <w:highlight w:val="none"/>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75297FFE">
      <w:pPr>
        <w:rPr>
          <w:color w:val="auto"/>
        </w:rPr>
      </w:pPr>
    </w:p>
    <w:p w14:paraId="393FAC8E">
      <w:pPr>
        <w:pStyle w:val="2"/>
        <w:rPr>
          <w:rFonts w:hint="eastAsia"/>
          <w:color w:val="auto"/>
          <w:lang w:val="en-US" w:eastAsia="zh-CN"/>
        </w:rPr>
      </w:pPr>
    </w:p>
    <w:p w14:paraId="2F27964E">
      <w:pPr>
        <w:rPr>
          <w:color w:val="auto"/>
        </w:rPr>
      </w:pPr>
    </w:p>
    <w:p w14:paraId="319EF9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仿宋_GB2312"/>
          <w:b w:val="0"/>
          <w:color w:val="auto"/>
          <w:sz w:val="32"/>
          <w:szCs w:val="32"/>
          <w:highlight w:val="none"/>
        </w:rPr>
      </w:pPr>
    </w:p>
    <w:p w14:paraId="39D46706">
      <w:pPr>
        <w:pStyle w:val="4"/>
        <w:rPr>
          <w:rFonts w:hint="eastAsia"/>
          <w:color w:val="auto"/>
          <w:lang w:val="en-US" w:eastAsia="zh-CN"/>
        </w:rPr>
      </w:pPr>
    </w:p>
    <w:p w14:paraId="32CAA9F6">
      <w:pPr>
        <w:pStyle w:val="2"/>
        <w:rPr>
          <w:rFonts w:hint="eastAsia"/>
          <w:color w:val="auto"/>
          <w:lang w:val="en-US" w:eastAsia="zh-CN"/>
        </w:rPr>
      </w:pPr>
    </w:p>
    <w:p w14:paraId="4E8B95CE">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bidi="ar"/>
        </w:rPr>
        <w:t>报价应附材料：</w:t>
      </w:r>
    </w:p>
    <w:p w14:paraId="00BE48E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1.报价函（格式见模板加盖公章）。</w:t>
      </w:r>
    </w:p>
    <w:p w14:paraId="73959240">
      <w:pPr>
        <w:pStyle w:val="3"/>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z w:val="32"/>
          <w:szCs w:val="32"/>
          <w:highlight w:val="none"/>
        </w:rPr>
        <w:t>2.授权委托书、授权代表身份证复印件（加盖公章）。</w:t>
      </w:r>
    </w:p>
    <w:p w14:paraId="47A6530B">
      <w:pPr>
        <w:pStyle w:val="3"/>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z w:val="32"/>
          <w:szCs w:val="32"/>
          <w:highlight w:val="none"/>
        </w:rPr>
        <w:t>3.</w:t>
      </w:r>
      <w:r>
        <w:rPr>
          <w:rFonts w:hint="eastAsia" w:cs="仿宋_GB2312"/>
          <w:color w:val="auto"/>
          <w:sz w:val="32"/>
          <w:szCs w:val="32"/>
          <w:highlight w:val="none"/>
          <w:lang w:val="en-US" w:eastAsia="zh-CN"/>
        </w:rPr>
        <w:t>营业执照</w:t>
      </w:r>
      <w:r>
        <w:rPr>
          <w:rFonts w:ascii="Times New Roman" w:hAnsi="Times New Roman" w:eastAsia="仿宋_GB2312" w:cs="仿宋_GB2312"/>
          <w:color w:val="auto"/>
          <w:sz w:val="32"/>
          <w:szCs w:val="32"/>
          <w:highlight w:val="none"/>
        </w:rPr>
        <w:t>（加盖公章）。</w:t>
      </w:r>
    </w:p>
    <w:p w14:paraId="33712BA4">
      <w:pPr>
        <w:pStyle w:val="3"/>
        <w:rPr>
          <w:rFonts w:ascii="Times New Roman" w:hAnsi="Times New Roman" w:eastAsia="仿宋_GB2312" w:cs="仿宋_GB2312"/>
          <w:b/>
          <w:color w:val="auto"/>
          <w:sz w:val="32"/>
          <w:szCs w:val="32"/>
          <w:highlight w:val="none"/>
        </w:rPr>
      </w:pPr>
      <w:r>
        <w:rPr>
          <w:rFonts w:ascii="Times New Roman" w:hAnsi="Times New Roman" w:eastAsia="仿宋_GB2312" w:cs="仿宋_GB2312"/>
          <w:color w:val="auto"/>
          <w:sz w:val="32"/>
          <w:szCs w:val="32"/>
          <w:highlight w:val="none"/>
        </w:rPr>
        <w:t>4.信用查询证明（加盖公章）。</w:t>
      </w:r>
    </w:p>
    <w:p w14:paraId="5AF836B9">
      <w:pPr>
        <w:pStyle w:val="3"/>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z w:val="32"/>
          <w:szCs w:val="32"/>
          <w:highlight w:val="none"/>
        </w:rPr>
        <w:t>5.业绩合同扫描件或者复印件，按采购公告要求提供（加盖公章）。</w:t>
      </w:r>
    </w:p>
    <w:p w14:paraId="13EC1E38">
      <w:pPr>
        <w:pStyle w:val="3"/>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z w:val="32"/>
          <w:szCs w:val="32"/>
          <w:highlight w:val="none"/>
        </w:rPr>
        <w:t>6.其他资料（按照采购公告要求提供）。</w:t>
      </w:r>
    </w:p>
    <w:p w14:paraId="011EF4E6">
      <w:pPr>
        <w:pStyle w:val="3"/>
        <w:ind w:firstLine="420"/>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pacing wpsCustomData:val="-6" w:val="2"/>
          <w:sz w:val="32"/>
          <w:szCs w:val="32"/>
          <w:highlight w:val="none"/>
        </w:rPr>
        <w:t>报价供应商对所提供的资料真实性和完整性负责并对此承</w:t>
      </w:r>
      <w:r>
        <w:rPr>
          <w:rFonts w:ascii="Times New Roman" w:hAnsi="Times New Roman" w:eastAsia="仿宋_GB2312" w:cs="仿宋_GB2312"/>
          <w:color w:val="auto"/>
          <w:spacing wpsCustomData:val="-6" w:val="-6"/>
          <w:sz w:val="32"/>
          <w:szCs w:val="32"/>
          <w:highlight w:val="none"/>
        </w:rPr>
        <w:t>担</w:t>
      </w:r>
      <w:r>
        <w:rPr>
          <w:rFonts w:ascii="Times New Roman" w:hAnsi="Times New Roman" w:eastAsia="仿宋_GB2312" w:cs="仿宋_GB2312"/>
          <w:color w:val="auto"/>
          <w:sz w:val="32"/>
          <w:szCs w:val="32"/>
          <w:highlight w:val="none"/>
        </w:rPr>
        <w:t>责任。</w:t>
      </w:r>
    </w:p>
    <w:p w14:paraId="198A5F5D">
      <w:pPr>
        <w:pStyle w:val="4"/>
        <w:rPr>
          <w:rFonts w:hint="eastAsia"/>
          <w:color w:val="auto"/>
          <w:highlight w:val="none"/>
          <w:lang w:eastAsia="zh-CN"/>
        </w:rPr>
      </w:pPr>
    </w:p>
    <w:p w14:paraId="5979908C">
      <w:pPr>
        <w:pStyle w:val="22"/>
        <w:widowControl/>
        <w:rPr>
          <w:color w:val="auto"/>
          <w:highlight w:val="none"/>
        </w:rPr>
      </w:pPr>
    </w:p>
    <w:p w14:paraId="1B92E705">
      <w:pPr>
        <w:pStyle w:val="22"/>
        <w:widowControl/>
        <w:rPr>
          <w:color w:val="auto"/>
          <w:highlight w:val="none"/>
        </w:rPr>
      </w:pPr>
    </w:p>
    <w:p w14:paraId="312F2A46">
      <w:pPr>
        <w:pStyle w:val="22"/>
        <w:widowControl/>
        <w:rPr>
          <w:color w:val="auto"/>
          <w:highlight w:val="none"/>
        </w:rPr>
      </w:pPr>
    </w:p>
    <w:p w14:paraId="1EE1E572">
      <w:pPr>
        <w:pStyle w:val="22"/>
        <w:widowControl/>
        <w:rPr>
          <w:color w:val="auto"/>
          <w:highlight w:val="none"/>
        </w:rPr>
      </w:pPr>
    </w:p>
    <w:p w14:paraId="02C836BC">
      <w:pPr>
        <w:pStyle w:val="22"/>
        <w:widowControl/>
        <w:rPr>
          <w:color w:val="auto"/>
          <w:highlight w:val="none"/>
        </w:rPr>
      </w:pPr>
    </w:p>
    <w:p w14:paraId="298EC5A8">
      <w:pPr>
        <w:pStyle w:val="22"/>
        <w:widowControl/>
        <w:rPr>
          <w:color w:val="auto"/>
          <w:highlight w:val="none"/>
        </w:rPr>
      </w:pPr>
    </w:p>
    <w:p w14:paraId="614E5139">
      <w:pPr>
        <w:pStyle w:val="22"/>
        <w:widowControl/>
        <w:rPr>
          <w:color w:val="auto"/>
          <w:highlight w:val="none"/>
        </w:rPr>
      </w:pPr>
    </w:p>
    <w:p w14:paraId="7FA28977">
      <w:pPr>
        <w:pStyle w:val="22"/>
        <w:widowControl/>
        <w:rPr>
          <w:color w:val="auto"/>
          <w:highlight w:val="none"/>
        </w:rPr>
      </w:pPr>
    </w:p>
    <w:p w14:paraId="6EA086D5">
      <w:pPr>
        <w:pStyle w:val="22"/>
        <w:widowControl/>
        <w:rPr>
          <w:color w:val="auto"/>
          <w:highlight w:val="none"/>
        </w:rPr>
      </w:pPr>
    </w:p>
    <w:tbl>
      <w:tblPr>
        <w:tblStyle w:val="23"/>
        <w:tblW w:w="9080" w:type="dxa"/>
        <w:jc w:val="center"/>
        <w:tblLayout w:type="fixed"/>
        <w:tblCellMar>
          <w:top w:w="0" w:type="dxa"/>
          <w:left w:w="108" w:type="dxa"/>
          <w:bottom w:w="0" w:type="dxa"/>
          <w:right w:w="108" w:type="dxa"/>
        </w:tblCellMar>
      </w:tblPr>
      <w:tblGrid>
        <w:gridCol w:w="539"/>
        <w:gridCol w:w="2048"/>
        <w:gridCol w:w="6493"/>
      </w:tblGrid>
      <w:tr w14:paraId="25605895">
        <w:tblPrEx>
          <w:tblCellMar>
            <w:top w:w="0" w:type="dxa"/>
            <w:left w:w="108" w:type="dxa"/>
            <w:bottom w:w="0" w:type="dxa"/>
            <w:right w:w="108" w:type="dxa"/>
          </w:tblCellMar>
        </w:tblPrEx>
        <w:trPr>
          <w:trHeight w:val="0" w:hRule="atLeast"/>
          <w:tblHeader/>
          <w:jc w:val="center"/>
        </w:trPr>
        <w:tc>
          <w:tcPr>
            <w:tcW w:w="9080" w:type="dxa"/>
            <w:gridSpan w:val="3"/>
            <w:tcBorders>
              <w:top w:val="nil"/>
              <w:left w:val="nil"/>
              <w:bottom w:val="nil"/>
              <w:right w:val="nil"/>
            </w:tcBorders>
            <w:noWrap w:val="0"/>
            <w:tcMar>
              <w:left w:w="108" w:type="dxa"/>
              <w:right w:w="108" w:type="dxa"/>
            </w:tcMar>
            <w:vAlign w:val="center"/>
          </w:tcPr>
          <w:p w14:paraId="45E335D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407F390B">
        <w:tblPrEx>
          <w:tblCellMar>
            <w:top w:w="0" w:type="dxa"/>
            <w:left w:w="108" w:type="dxa"/>
            <w:bottom w:w="0" w:type="dxa"/>
            <w:right w:w="108" w:type="dxa"/>
          </w:tblCellMar>
        </w:tblPrEx>
        <w:trPr>
          <w:trHeight w:val="0"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42147F82">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5A02EF43">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4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E8524C">
            <w:pPr>
              <w:widowControl/>
              <w:snapToGrid w:val="0"/>
              <w:ind w:left="0" w:leftChars="0" w:right="0" w:righ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default" w:ascii="仿宋_GB2312" w:hAnsi="仿宋_GB2312" w:eastAsia="仿宋_GB2312" w:cs="仿宋_GB2312"/>
                <w:color w:val="auto"/>
                <w:kern w:val="0"/>
                <w:sz w:val="24"/>
                <w:szCs w:val="24"/>
                <w:highlight w:val="none"/>
                <w:lang w:val="en-US" w:eastAsia="zh-CN" w:bidi="ar"/>
              </w:rPr>
              <w:t>郑州航空大都市商业管理有限公司</w:t>
            </w:r>
          </w:p>
          <w:p w14:paraId="41CE594C">
            <w:pPr>
              <w:widowControl/>
              <w:snapToGrid w:val="0"/>
              <w:ind w:left="0" w:leftChars="0" w:right="0" w:righ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default" w:ascii="仿宋_GB2312" w:hAnsi="仿宋_GB2312" w:eastAsia="仿宋_GB2312" w:cs="仿宋_GB2312"/>
                <w:color w:val="auto"/>
                <w:kern w:val="0"/>
                <w:sz w:val="24"/>
                <w:szCs w:val="24"/>
                <w:highlight w:val="none"/>
                <w:lang w:val="en-US" w:eastAsia="zh-CN" w:bidi="ar"/>
              </w:rPr>
              <w:t>选聘商业前期策划服务商项目</w:t>
            </w:r>
          </w:p>
        </w:tc>
      </w:tr>
      <w:tr w14:paraId="5EE2650D">
        <w:tblPrEx>
          <w:tblCellMar>
            <w:top w:w="0" w:type="dxa"/>
            <w:left w:w="108" w:type="dxa"/>
            <w:bottom w:w="0" w:type="dxa"/>
            <w:right w:w="108" w:type="dxa"/>
          </w:tblCellMar>
        </w:tblPrEx>
        <w:trPr>
          <w:trHeight w:val="0"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3D437861">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1062C57">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4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EF0171">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本次采购中选服务商需分别针对2号地块、10号地块提供各一套完整包含三大板块的专业咨询服务，形成完整可落地的项目策划报告，服务内容包含：</w:t>
            </w:r>
          </w:p>
          <w:p w14:paraId="654CE389">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（一）前期调研与市场研究：开展宏观发展环境、区域周边商业市场、同类典型项目、地块自身开发条件、标杆案例对比分析，同步完成目标客群专项调研；</w:t>
            </w:r>
          </w:p>
          <w:p w14:paraId="1EEB5884">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（二）项目定位研究：结合市场调研结果完成定位逻辑推导，明确项目整体定位、形象定位、客群分层定位，同步输出建筑规模、业态布局、功能分区及产品配置建议；</w:t>
            </w:r>
          </w:p>
          <w:p w14:paraId="599C0743">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（三）项目经济测算：完成租售定价体系测算、全周期开发成本核算，开展项目整体经济效益测算分析。</w:t>
            </w:r>
          </w:p>
          <w:p w14:paraId="1C237624">
            <w:pPr>
              <w:pStyle w:val="2"/>
              <w:rPr>
                <w:rFonts w:hint="eastAsia"/>
                <w:color w:val="auto"/>
                <w:lang w:val="en-US" w:eastAsia="zh-CN"/>
              </w:rPr>
            </w:pPr>
          </w:p>
        </w:tc>
      </w:tr>
      <w:tr w14:paraId="4E72A8E4">
        <w:tblPrEx>
          <w:tblCellMar>
            <w:top w:w="0" w:type="dxa"/>
            <w:left w:w="108" w:type="dxa"/>
            <w:bottom w:w="0" w:type="dxa"/>
            <w:right w:w="108" w:type="dxa"/>
          </w:tblCellMar>
        </w:tblPrEx>
        <w:trPr>
          <w:trHeight w:val="561"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BEC4AF2">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01EE8C4E">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49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21AABCB1">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63449CC1">
        <w:tblPrEx>
          <w:tblCellMar>
            <w:top w:w="0" w:type="dxa"/>
            <w:left w:w="108" w:type="dxa"/>
            <w:bottom w:w="0" w:type="dxa"/>
            <w:right w:w="108" w:type="dxa"/>
          </w:tblCellMar>
        </w:tblPrEx>
        <w:trPr>
          <w:trHeight w:val="614"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4CB2D31A">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0843C7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4DF39B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49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28082A0">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default"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cs="仿宋_GB2312"/>
                <w:b w:val="0"/>
                <w:bCs w:val="0"/>
                <w:color w:val="auto"/>
                <w:sz w:val="24"/>
                <w:szCs w:val="24"/>
                <w:highlight w:val="none"/>
                <w:lang w:val="en-US" w:eastAsia="zh-CN" w:bidi="ar"/>
              </w:rPr>
              <w:t>总报价</w:t>
            </w: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cs="仿宋_GB2312"/>
                <w:b w:val="0"/>
                <w:bCs w:val="0"/>
                <w:color w:val="auto"/>
                <w:sz w:val="24"/>
                <w:szCs w:val="24"/>
                <w:highlight w:val="none"/>
                <w:u w:val="none"/>
                <w:lang w:val="en-US" w:eastAsia="zh-CN" w:bidi="ar"/>
              </w:rPr>
              <w:t>，其中</w:t>
            </w:r>
            <w:r>
              <w:rPr>
                <w:rFonts w:hint="eastAsia" w:ascii="仿宋_GB2312" w:hAnsi="仿宋_GB2312" w:eastAsia="仿宋_GB2312" w:cs="仿宋_GB2312"/>
                <w:color w:val="auto"/>
                <w:kern w:val="0"/>
                <w:sz w:val="24"/>
                <w:szCs w:val="24"/>
                <w:highlight w:val="none"/>
                <w:lang w:val="en-US" w:eastAsia="zh-CN" w:bidi="ar"/>
              </w:rPr>
              <w:t>2号地块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元、10</w:t>
            </w:r>
            <w:r>
              <w:rPr>
                <w:rFonts w:hint="eastAsia" w:ascii="仿宋_GB2312" w:hAnsi="仿宋_GB2312" w:eastAsia="仿宋_GB2312" w:cs="仿宋_GB2312"/>
                <w:color w:val="auto"/>
                <w:kern w:val="0"/>
                <w:sz w:val="24"/>
                <w:szCs w:val="24"/>
                <w:highlight w:val="none"/>
                <w:lang w:val="en-US" w:eastAsia="zh-CN" w:bidi="ar"/>
              </w:rPr>
              <w:t>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元；</w:t>
            </w:r>
          </w:p>
          <w:p w14:paraId="5D12F58B">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default"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cs="仿宋_GB2312"/>
                <w:b w:val="0"/>
                <w:bCs w:val="0"/>
                <w:color w:val="auto"/>
                <w:sz w:val="24"/>
                <w:szCs w:val="24"/>
                <w:highlight w:val="none"/>
                <w:u w:val="none"/>
                <w:lang w:val="en-US" w:eastAsia="zh-CN" w:bidi="ar"/>
              </w:rPr>
              <w:t>，其中</w:t>
            </w:r>
            <w:r>
              <w:rPr>
                <w:rFonts w:hint="eastAsia" w:ascii="仿宋_GB2312" w:hAnsi="仿宋_GB2312" w:eastAsia="仿宋_GB2312" w:cs="仿宋_GB2312"/>
                <w:color w:val="auto"/>
                <w:kern w:val="0"/>
                <w:sz w:val="24"/>
                <w:szCs w:val="24"/>
                <w:highlight w:val="none"/>
                <w:lang w:val="en-US" w:eastAsia="zh-CN" w:bidi="ar"/>
              </w:rPr>
              <w:t>2号地块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、10</w:t>
            </w:r>
            <w:r>
              <w:rPr>
                <w:rFonts w:hint="eastAsia" w:ascii="仿宋_GB2312" w:hAnsi="仿宋_GB2312" w:eastAsia="仿宋_GB2312" w:cs="仿宋_GB2312"/>
                <w:color w:val="auto"/>
                <w:kern w:val="0"/>
                <w:sz w:val="24"/>
                <w:szCs w:val="24"/>
                <w:highlight w:val="none"/>
                <w:lang w:val="en-US" w:eastAsia="zh-CN" w:bidi="ar"/>
              </w:rPr>
              <w:t>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w:t>
            </w:r>
          </w:p>
          <w:p w14:paraId="56A08F6A">
            <w:pPr>
              <w:pStyle w:val="3"/>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default" w:ascii="仿宋_GB2312" w:hAnsi="仿宋_GB2312" w:eastAsia="仿宋_GB2312" w:cs="仿宋_GB2312"/>
                <w:b w:val="0"/>
                <w:bCs w:val="0"/>
                <w:color w:val="auto"/>
                <w:sz w:val="24"/>
                <w:szCs w:val="24"/>
                <w:highlight w:val="none"/>
                <w:u w:val="none"/>
                <w:lang w:val="en-US" w:eastAsia="zh-CN" w:bidi="ar"/>
              </w:rPr>
            </w:pPr>
          </w:p>
        </w:tc>
      </w:tr>
      <w:tr w14:paraId="3C41D4F2">
        <w:tblPrEx>
          <w:tblCellMar>
            <w:top w:w="0" w:type="dxa"/>
            <w:left w:w="108" w:type="dxa"/>
            <w:bottom w:w="0" w:type="dxa"/>
            <w:right w:w="108" w:type="dxa"/>
          </w:tblCellMar>
        </w:tblPrEx>
        <w:trPr>
          <w:trHeight w:val="867"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5C429D1E">
            <w:pPr>
              <w:widowControl/>
              <w:snapToGrid w:val="0"/>
              <w:ind w:left="0" w:leftChars="0" w:right="0" w:rightChars="0" w:firstLine="0" w:firstLineChars="0"/>
              <w:jc w:val="center"/>
              <w:textAlignment w:val="center"/>
              <w:outlineLvl w:val="9"/>
              <w:rPr>
                <w:rFonts w:hint="eastAsia" w:ascii="仿宋_GB2312" w:hAnsi="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13529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5EB959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49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0845192E">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default"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cs="仿宋_GB2312"/>
                <w:b w:val="0"/>
                <w:bCs w:val="0"/>
                <w:color w:val="auto"/>
                <w:sz w:val="24"/>
                <w:szCs w:val="24"/>
                <w:highlight w:val="none"/>
                <w:lang w:val="en-US" w:eastAsia="zh-CN" w:bidi="ar"/>
              </w:rPr>
              <w:t>总报价</w:t>
            </w: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cs="仿宋_GB2312"/>
                <w:b w:val="0"/>
                <w:bCs w:val="0"/>
                <w:color w:val="auto"/>
                <w:sz w:val="24"/>
                <w:szCs w:val="24"/>
                <w:highlight w:val="none"/>
                <w:u w:val="none"/>
                <w:lang w:val="en-US" w:eastAsia="zh-CN" w:bidi="ar"/>
              </w:rPr>
              <w:t>，其中</w:t>
            </w:r>
            <w:r>
              <w:rPr>
                <w:rFonts w:hint="eastAsia" w:ascii="仿宋_GB2312" w:hAnsi="仿宋_GB2312" w:eastAsia="仿宋_GB2312" w:cs="仿宋_GB2312"/>
                <w:color w:val="auto"/>
                <w:kern w:val="0"/>
                <w:sz w:val="24"/>
                <w:szCs w:val="24"/>
                <w:highlight w:val="none"/>
                <w:lang w:val="en-US" w:eastAsia="zh-CN" w:bidi="ar"/>
              </w:rPr>
              <w:t>2号地块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元、10</w:t>
            </w:r>
            <w:r>
              <w:rPr>
                <w:rFonts w:hint="eastAsia" w:ascii="仿宋_GB2312" w:hAnsi="仿宋_GB2312" w:eastAsia="仿宋_GB2312" w:cs="仿宋_GB2312"/>
                <w:color w:val="auto"/>
                <w:kern w:val="0"/>
                <w:sz w:val="24"/>
                <w:szCs w:val="24"/>
                <w:highlight w:val="none"/>
                <w:lang w:val="en-US" w:eastAsia="zh-CN" w:bidi="ar"/>
              </w:rPr>
              <w:t>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元；</w:t>
            </w:r>
          </w:p>
          <w:p w14:paraId="2F74772F">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default"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cs="仿宋_GB2312"/>
                <w:b w:val="0"/>
                <w:bCs w:val="0"/>
                <w:color w:val="auto"/>
                <w:sz w:val="24"/>
                <w:szCs w:val="24"/>
                <w:highlight w:val="none"/>
                <w:u w:val="none"/>
                <w:lang w:val="en-US" w:eastAsia="zh-CN" w:bidi="ar"/>
              </w:rPr>
              <w:t>，其中</w:t>
            </w:r>
            <w:r>
              <w:rPr>
                <w:rFonts w:hint="eastAsia" w:ascii="仿宋_GB2312" w:hAnsi="仿宋_GB2312" w:eastAsia="仿宋_GB2312" w:cs="仿宋_GB2312"/>
                <w:color w:val="auto"/>
                <w:kern w:val="0"/>
                <w:sz w:val="24"/>
                <w:szCs w:val="24"/>
                <w:highlight w:val="none"/>
                <w:lang w:val="en-US" w:eastAsia="zh-CN" w:bidi="ar"/>
              </w:rPr>
              <w:t>2号地块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、10</w:t>
            </w:r>
            <w:r>
              <w:rPr>
                <w:rFonts w:hint="eastAsia" w:ascii="仿宋_GB2312" w:hAnsi="仿宋_GB2312" w:eastAsia="仿宋_GB2312" w:cs="仿宋_GB2312"/>
                <w:color w:val="auto"/>
                <w:kern w:val="0"/>
                <w:sz w:val="24"/>
                <w:szCs w:val="24"/>
                <w:highlight w:val="none"/>
                <w:lang w:val="en-US" w:eastAsia="zh-CN" w:bidi="ar"/>
              </w:rPr>
              <w:t>号地块</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lang w:val="en-US" w:eastAsia="zh-CN" w:bidi="ar"/>
              </w:rPr>
              <w:t>；</w:t>
            </w:r>
          </w:p>
          <w:p w14:paraId="06C1B6D1">
            <w:pPr>
              <w:pStyle w:val="3"/>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_GB2312" w:hAnsi="仿宋_GB2312" w:eastAsia="仿宋_GB2312" w:cs="仿宋_GB2312"/>
                <w:b w:val="0"/>
                <w:bCs w:val="0"/>
                <w:color w:val="auto"/>
                <w:sz w:val="24"/>
                <w:szCs w:val="24"/>
                <w:highlight w:val="none"/>
                <w:u w:val="none"/>
                <w:lang w:val="en-US" w:eastAsia="zh-CN" w:bidi="ar"/>
              </w:rPr>
            </w:pPr>
          </w:p>
        </w:tc>
      </w:tr>
      <w:tr w14:paraId="5A5DBC95">
        <w:tblPrEx>
          <w:tblCellMar>
            <w:top w:w="0" w:type="dxa"/>
            <w:left w:w="108" w:type="dxa"/>
            <w:bottom w:w="0" w:type="dxa"/>
            <w:right w:w="108" w:type="dxa"/>
          </w:tblCellMar>
        </w:tblPrEx>
        <w:trPr>
          <w:trHeight w:val="718"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2916AE73">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0AD61E78">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49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0B425FCF">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16A684D1">
        <w:tblPrEx>
          <w:tblCellMar>
            <w:top w:w="0" w:type="dxa"/>
            <w:left w:w="108" w:type="dxa"/>
            <w:bottom w:w="0" w:type="dxa"/>
            <w:right w:w="108" w:type="dxa"/>
          </w:tblCellMar>
        </w:tblPrEx>
        <w:trPr>
          <w:trHeight w:val="0"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0507883">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29405E2">
            <w:pPr>
              <w:widowControl/>
              <w:snapToGrid w:val="0"/>
              <w:ind w:left="0" w:leftChars="0" w:right="0" w:righ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服务期限</w:t>
            </w:r>
          </w:p>
        </w:tc>
        <w:tc>
          <w:tcPr>
            <w:tcW w:w="649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075EAB7B">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自服务合同签订之日起，至2号地块、10号地块项目开工前期策划配合工作全部结束为止；若项目规划、业态方案发生重大调整，服务商需免费配套优化报告直至项目落地。</w:t>
            </w:r>
          </w:p>
        </w:tc>
      </w:tr>
      <w:tr w14:paraId="278D6314">
        <w:tblPrEx>
          <w:tblCellMar>
            <w:top w:w="0" w:type="dxa"/>
            <w:left w:w="108" w:type="dxa"/>
            <w:bottom w:w="0" w:type="dxa"/>
            <w:right w:w="108" w:type="dxa"/>
          </w:tblCellMar>
        </w:tblPrEx>
        <w:trPr>
          <w:trHeight w:val="585"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F61488B">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2CC53E37">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49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4062E6E">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bidi="ar"/>
              </w:rPr>
            </w:pPr>
          </w:p>
        </w:tc>
      </w:tr>
      <w:tr w14:paraId="5D809996">
        <w:tblPrEx>
          <w:tblCellMar>
            <w:top w:w="0" w:type="dxa"/>
            <w:left w:w="108" w:type="dxa"/>
            <w:bottom w:w="0" w:type="dxa"/>
            <w:right w:w="108" w:type="dxa"/>
          </w:tblCellMar>
        </w:tblPrEx>
        <w:trPr>
          <w:trHeight w:val="754"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FDA9F10">
            <w:pPr>
              <w:widowControl/>
              <w:snapToGrid w:val="0"/>
              <w:ind w:left="0" w:leftChars="0" w:right="0" w:righ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0F5C999">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49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3324A772">
            <w:pPr>
              <w:widowControl/>
              <w:snapToGrid w:val="0"/>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4C0315B5">
        <w:tblPrEx>
          <w:tblCellMar>
            <w:top w:w="0" w:type="dxa"/>
            <w:left w:w="108" w:type="dxa"/>
            <w:bottom w:w="0" w:type="dxa"/>
            <w:right w:w="108" w:type="dxa"/>
          </w:tblCellMar>
        </w:tblPrEx>
        <w:trPr>
          <w:trHeight w:val="0" w:hRule="atLeast"/>
          <w:tblHeader/>
          <w:jc w:val="center"/>
        </w:trPr>
        <w:tc>
          <w:tcPr>
            <w:tcW w:w="5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A91BC27">
            <w:pPr>
              <w:widowControl/>
              <w:snapToGrid w:val="0"/>
              <w:ind w:left="0" w:leftChars="0" w:right="0" w:righ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10</w:t>
            </w:r>
          </w:p>
        </w:tc>
        <w:tc>
          <w:tcPr>
            <w:tcW w:w="2048"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300BEA0">
            <w:pPr>
              <w:widowControl/>
              <w:snapToGrid w:val="0"/>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4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9F2A2F">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6F4DD0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法定代表人身份证正反面复印件、授权委托书（法人代表参加时不提供）、授权代表身份证复印件（法人代表参加时不提供）、业绩合同扫描件或者复印件（采购公告要求份数）、信用查询证明，各一份并加盖公章；报价供应商对所提供的资料真实性和完整性负责并承担相应责任。</w:t>
            </w:r>
          </w:p>
        </w:tc>
      </w:tr>
      <w:tr w14:paraId="06A95EF1">
        <w:tblPrEx>
          <w:tblCellMar>
            <w:top w:w="0" w:type="dxa"/>
            <w:left w:w="108" w:type="dxa"/>
            <w:bottom w:w="0" w:type="dxa"/>
            <w:right w:w="108" w:type="dxa"/>
          </w:tblCellMar>
        </w:tblPrEx>
        <w:trPr>
          <w:trHeight w:val="0" w:hRule="atLeast"/>
          <w:tblHeader/>
          <w:jc w:val="center"/>
        </w:trPr>
        <w:tc>
          <w:tcPr>
            <w:tcW w:w="2587" w:type="dxa"/>
            <w:gridSpan w:val="2"/>
            <w:tcBorders>
              <w:top w:val="nil"/>
              <w:left w:val="nil"/>
              <w:bottom w:val="nil"/>
              <w:right w:val="nil"/>
            </w:tcBorders>
            <w:noWrap/>
            <w:tcMar>
              <w:left w:w="108" w:type="dxa"/>
              <w:right w:w="108" w:type="dxa"/>
            </w:tcMar>
            <w:vAlign w:val="center"/>
          </w:tcPr>
          <w:p w14:paraId="2CA7346B">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493" w:type="dxa"/>
            <w:tcBorders>
              <w:top w:val="nil"/>
              <w:left w:val="nil"/>
              <w:bottom w:val="nil"/>
              <w:right w:val="nil"/>
            </w:tcBorders>
            <w:noWrap/>
            <w:tcMar>
              <w:left w:w="108" w:type="dxa"/>
              <w:right w:w="108" w:type="dxa"/>
            </w:tcMar>
            <w:vAlign w:val="center"/>
          </w:tcPr>
          <w:p w14:paraId="17C64056">
            <w:pPr>
              <w:jc w:val="center"/>
              <w:outlineLvl w:val="9"/>
              <w:rPr>
                <w:rFonts w:hint="eastAsia" w:ascii="仿宋_GB2312" w:hAnsi="仿宋_GB2312" w:eastAsia="仿宋_GB2312" w:cs="仿宋_GB2312"/>
                <w:color w:val="auto"/>
                <w:sz w:val="24"/>
                <w:szCs w:val="24"/>
                <w:highlight w:val="none"/>
              </w:rPr>
            </w:pPr>
          </w:p>
        </w:tc>
      </w:tr>
      <w:tr w14:paraId="7577960D">
        <w:tblPrEx>
          <w:tblCellMar>
            <w:top w:w="0" w:type="dxa"/>
            <w:left w:w="108" w:type="dxa"/>
            <w:bottom w:w="0" w:type="dxa"/>
            <w:right w:w="108" w:type="dxa"/>
          </w:tblCellMar>
        </w:tblPrEx>
        <w:trPr>
          <w:trHeight w:val="0" w:hRule="atLeast"/>
          <w:tblHeader/>
          <w:jc w:val="center"/>
        </w:trPr>
        <w:tc>
          <w:tcPr>
            <w:tcW w:w="2587" w:type="dxa"/>
            <w:gridSpan w:val="2"/>
            <w:tcBorders>
              <w:top w:val="nil"/>
              <w:left w:val="nil"/>
              <w:bottom w:val="nil"/>
              <w:right w:val="nil"/>
            </w:tcBorders>
            <w:noWrap/>
            <w:tcMar>
              <w:left w:w="108" w:type="dxa"/>
              <w:right w:w="108" w:type="dxa"/>
            </w:tcMar>
            <w:vAlign w:val="center"/>
          </w:tcPr>
          <w:p w14:paraId="4DCE23D2">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493" w:type="dxa"/>
            <w:tcBorders>
              <w:top w:val="nil"/>
              <w:left w:val="nil"/>
              <w:bottom w:val="nil"/>
              <w:right w:val="nil"/>
            </w:tcBorders>
            <w:noWrap w:val="0"/>
            <w:tcMar>
              <w:left w:w="108" w:type="dxa"/>
              <w:right w:w="108" w:type="dxa"/>
            </w:tcMar>
            <w:vAlign w:val="center"/>
          </w:tcPr>
          <w:p w14:paraId="217E9286">
            <w:pPr>
              <w:jc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年  月  日</w:t>
            </w:r>
          </w:p>
          <w:p w14:paraId="2A0D9F21">
            <w:pPr>
              <w:pStyle w:val="30"/>
              <w:rPr>
                <w:rFonts w:hint="eastAsia"/>
                <w:color w:val="auto"/>
                <w:lang w:val="en-US" w:eastAsia="zh-CN"/>
              </w:rPr>
            </w:pPr>
          </w:p>
        </w:tc>
      </w:tr>
    </w:tbl>
    <w:p w14:paraId="7AC0A138">
      <w:pPr>
        <w:pStyle w:val="22"/>
        <w:widowControl/>
        <w:rPr>
          <w:color w:val="auto"/>
          <w:highlight w:val="none"/>
        </w:rPr>
      </w:pPr>
    </w:p>
    <w:p w14:paraId="01C4B5C1">
      <w:pPr>
        <w:pStyle w:val="3"/>
        <w:bidi w:val="0"/>
        <w:rPr>
          <w:rFonts w:hint="default"/>
          <w:color w:val="auto"/>
          <w:lang w:val="en-US" w:eastAsia="zh-CN"/>
        </w:rPr>
      </w:pPr>
    </w:p>
    <w:p w14:paraId="0B1FB853">
      <w:pPr>
        <w:rPr>
          <w:rFonts w:hint="default"/>
          <w:color w:val="auto"/>
          <w:lang w:val="en-US" w:eastAsia="zh-CN"/>
        </w:rPr>
      </w:pPr>
    </w:p>
    <w:p w14:paraId="51DD1452">
      <w:pPr>
        <w:pStyle w:val="2"/>
        <w:rPr>
          <w:rFonts w:hint="default"/>
          <w:color w:val="auto"/>
          <w:lang w:val="en-US" w:eastAsia="zh-CN"/>
        </w:rPr>
      </w:pPr>
    </w:p>
    <w:p w14:paraId="417065A6">
      <w:pPr>
        <w:pStyle w:val="4"/>
        <w:rPr>
          <w:rFonts w:hint="default"/>
          <w:color w:val="auto"/>
          <w:lang w:val="en-US" w:eastAsia="zh-CN"/>
        </w:rPr>
      </w:pPr>
    </w:p>
    <w:p w14:paraId="18082C23">
      <w:pPr>
        <w:rPr>
          <w:rFonts w:hint="default"/>
          <w:color w:val="auto"/>
          <w:lang w:val="en-US" w:eastAsia="zh-CN"/>
        </w:rPr>
      </w:pPr>
    </w:p>
    <w:p w14:paraId="0FA1A740">
      <w:pPr>
        <w:pStyle w:val="2"/>
        <w:rPr>
          <w:rFonts w:hint="default"/>
          <w:color w:val="auto"/>
          <w:lang w:val="en-US" w:eastAsia="zh-CN"/>
        </w:rPr>
      </w:pPr>
    </w:p>
    <w:p w14:paraId="3DC9D593">
      <w:pPr>
        <w:pStyle w:val="4"/>
        <w:rPr>
          <w:rFonts w:hint="default"/>
          <w:color w:val="auto"/>
          <w:lang w:val="en-US" w:eastAsia="zh-CN"/>
        </w:rPr>
      </w:pPr>
    </w:p>
    <w:p w14:paraId="0E372C76">
      <w:pPr>
        <w:rPr>
          <w:rFonts w:hint="default"/>
          <w:color w:val="auto"/>
          <w:lang w:val="en-US" w:eastAsia="zh-CN"/>
        </w:rPr>
      </w:pPr>
    </w:p>
    <w:p w14:paraId="53D1C032">
      <w:pPr>
        <w:pStyle w:val="2"/>
        <w:rPr>
          <w:rFonts w:hint="default"/>
          <w:color w:val="auto"/>
          <w:lang w:val="en-US" w:eastAsia="zh-CN"/>
        </w:rPr>
      </w:pPr>
    </w:p>
    <w:p w14:paraId="0D9BAA4A">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1EB5EBF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0F60E430">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55180DB7">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11E498E1">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79CA4398">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1FC83D96">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565D7A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highlight w:val="none"/>
          <w:lang w:val="en-US" w:eastAsia="zh-CN" w:bidi="ar"/>
        </w:rPr>
        <w:t>一、委托事项</w:t>
      </w:r>
    </w:p>
    <w:p w14:paraId="359113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5C86BD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highlight w:val="none"/>
          <w:lang w:val="en-US" w:eastAsia="zh-CN" w:bidi="ar"/>
        </w:rPr>
        <w:t>二、委托权限</w:t>
      </w:r>
    </w:p>
    <w:p w14:paraId="5D70C1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5E655A5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highlight w:val="none"/>
          <w:lang w:val="en-US" w:eastAsia="zh-CN" w:bidi="ar"/>
        </w:rPr>
        <w:t>三、委托期限</w:t>
      </w:r>
    </w:p>
    <w:p w14:paraId="7B2D7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40C7E17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60C00C6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648606F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3F4986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409ACF0A">
      <w:pPr>
        <w:pStyle w:val="2"/>
        <w:rPr>
          <w:rFonts w:hint="default"/>
          <w:color w:val="auto"/>
          <w:sz w:val="32"/>
          <w:szCs w:val="32"/>
          <w:lang w:val="en-US" w:eastAsia="zh-CN"/>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sectPr>
      <w:headerReference r:id="rId3" w:type="default"/>
      <w:footerReference r:id="rId5" w:type="default"/>
      <w:headerReference r:id="rId4" w:type="even"/>
      <w:footerReference r:id="rId6" w:type="even"/>
      <w:pgSz w:w="11906" w:h="16838"/>
      <w:pgMar w:top="2098" w:right="1474" w:bottom="1984" w:left="13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588BEF-37EC-4694-AFBE-F424553E33DD}"/>
  </w:font>
  <w:font w:name="黑体">
    <w:panose1 w:val="02010609060101010101"/>
    <w:charset w:val="86"/>
    <w:family w:val="auto"/>
    <w:pitch w:val="default"/>
    <w:sig w:usb0="800002BF" w:usb1="38CF7CFA" w:usb2="00000016" w:usb3="00000000" w:csb0="00040001" w:csb1="00000000"/>
    <w:embedRegular r:id="rId2" w:fontKey="{5BCADD07-9745-4AF1-8245-C9EF7AEB91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F729AD7-A1CF-48F9-8D00-89B8A7DA3728}"/>
  </w:font>
  <w:font w:name="方正小标宋简体">
    <w:altName w:val="黑体"/>
    <w:panose1 w:val="03000509000000000000"/>
    <w:charset w:val="86"/>
    <w:family w:val="script"/>
    <w:pitch w:val="default"/>
    <w:sig w:usb0="00000000" w:usb1="00000000" w:usb2="00000000" w:usb3="00000000" w:csb0="00040000" w:csb1="00000000"/>
    <w:embedRegular r:id="rId4" w:fontKey="{E5885CBD-C83B-4FE0-80E1-CA5541CFECAF}"/>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4116">
    <w:pPr>
      <w:pStyle w:val="17"/>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CFFA4">
                          <w:pPr>
                            <w:pStyle w:val="1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D0CFFA4">
                    <w:pPr>
                      <w:pStyle w:val="1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3B8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0DAF2">
                          <w:pPr>
                            <w:pStyle w:val="1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5C80DAF2">
                    <w:pPr>
                      <w:pStyle w:val="1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C6F2">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54D3">
    <w:pPr>
      <w:pStyle w:val="18"/>
      <w:pBdr>
        <w:top w:val="none" w:color="auto" w:sz="0" w:space="1"/>
        <w:left w:val="none" w:color="auto" w:sz="0" w:space="4"/>
        <w:bottom w:val="none" w:color="auto" w:sz="0" w:space="1"/>
        <w:right w:val="none" w:color="auto" w:sz="0" w:space="4"/>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revisionView w:markup="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I0NDE1NGM4NDA4MjgzYzdkZDVhZDBiNmEzODIifQ=="/>
  </w:docVars>
  <w:rsids>
    <w:rsidRoot w:val="00DA6910"/>
    <w:rsid w:val="00125E50"/>
    <w:rsid w:val="001F6D86"/>
    <w:rsid w:val="00276B3A"/>
    <w:rsid w:val="00352FAD"/>
    <w:rsid w:val="003E1FDA"/>
    <w:rsid w:val="003F53B5"/>
    <w:rsid w:val="00431E99"/>
    <w:rsid w:val="00531C57"/>
    <w:rsid w:val="00595103"/>
    <w:rsid w:val="00600BD5"/>
    <w:rsid w:val="00613AA2"/>
    <w:rsid w:val="00695AA5"/>
    <w:rsid w:val="0073611D"/>
    <w:rsid w:val="007479BB"/>
    <w:rsid w:val="0084158E"/>
    <w:rsid w:val="00843B82"/>
    <w:rsid w:val="008A0872"/>
    <w:rsid w:val="008B5614"/>
    <w:rsid w:val="00947FD6"/>
    <w:rsid w:val="00975E0F"/>
    <w:rsid w:val="009D1E6B"/>
    <w:rsid w:val="009E4C0F"/>
    <w:rsid w:val="00B23268"/>
    <w:rsid w:val="00BF2820"/>
    <w:rsid w:val="00CB23A4"/>
    <w:rsid w:val="00D806DA"/>
    <w:rsid w:val="00DA0E1E"/>
    <w:rsid w:val="00DA6910"/>
    <w:rsid w:val="00EF5216"/>
    <w:rsid w:val="00FA5748"/>
    <w:rsid w:val="015B3EFA"/>
    <w:rsid w:val="03C83005"/>
    <w:rsid w:val="04195CF3"/>
    <w:rsid w:val="04C878DF"/>
    <w:rsid w:val="050558D1"/>
    <w:rsid w:val="05D51DC5"/>
    <w:rsid w:val="08884E5F"/>
    <w:rsid w:val="095C142D"/>
    <w:rsid w:val="0AA95014"/>
    <w:rsid w:val="0B1C2E7A"/>
    <w:rsid w:val="0D522769"/>
    <w:rsid w:val="0DC619E9"/>
    <w:rsid w:val="0DDA1988"/>
    <w:rsid w:val="0DF76E4F"/>
    <w:rsid w:val="0DFC3802"/>
    <w:rsid w:val="0E42130D"/>
    <w:rsid w:val="0EA03C45"/>
    <w:rsid w:val="0F8E43B3"/>
    <w:rsid w:val="0FFF2CDE"/>
    <w:rsid w:val="10491C47"/>
    <w:rsid w:val="11A77389"/>
    <w:rsid w:val="11AB7278"/>
    <w:rsid w:val="121C3D68"/>
    <w:rsid w:val="145C3655"/>
    <w:rsid w:val="14CF429B"/>
    <w:rsid w:val="16B47EE4"/>
    <w:rsid w:val="18467207"/>
    <w:rsid w:val="1AAB2851"/>
    <w:rsid w:val="1B477DAD"/>
    <w:rsid w:val="1D61033C"/>
    <w:rsid w:val="1EB2293D"/>
    <w:rsid w:val="1EF044C7"/>
    <w:rsid w:val="1F2A7BA2"/>
    <w:rsid w:val="1F4D0D35"/>
    <w:rsid w:val="1FBE07C2"/>
    <w:rsid w:val="201F5894"/>
    <w:rsid w:val="20280331"/>
    <w:rsid w:val="2030286C"/>
    <w:rsid w:val="2047529F"/>
    <w:rsid w:val="21067A16"/>
    <w:rsid w:val="230E7CB2"/>
    <w:rsid w:val="232E2103"/>
    <w:rsid w:val="24561B58"/>
    <w:rsid w:val="24AC11E0"/>
    <w:rsid w:val="25E55308"/>
    <w:rsid w:val="282F188E"/>
    <w:rsid w:val="288A43AA"/>
    <w:rsid w:val="28922F76"/>
    <w:rsid w:val="296022B4"/>
    <w:rsid w:val="2A646AB1"/>
    <w:rsid w:val="2A981EA6"/>
    <w:rsid w:val="2AEA0F78"/>
    <w:rsid w:val="2C555958"/>
    <w:rsid w:val="2EE1137A"/>
    <w:rsid w:val="2F212921"/>
    <w:rsid w:val="30682F2B"/>
    <w:rsid w:val="30707E1C"/>
    <w:rsid w:val="32763D2B"/>
    <w:rsid w:val="3399643D"/>
    <w:rsid w:val="339D48A3"/>
    <w:rsid w:val="341304F2"/>
    <w:rsid w:val="356C3BED"/>
    <w:rsid w:val="358021D8"/>
    <w:rsid w:val="358D0F0B"/>
    <w:rsid w:val="37B064F4"/>
    <w:rsid w:val="39DB7729"/>
    <w:rsid w:val="3ABF43EB"/>
    <w:rsid w:val="3B26355F"/>
    <w:rsid w:val="3B9669FD"/>
    <w:rsid w:val="3BA878C6"/>
    <w:rsid w:val="3BAF64C2"/>
    <w:rsid w:val="3E210910"/>
    <w:rsid w:val="3E520AB7"/>
    <w:rsid w:val="40672C01"/>
    <w:rsid w:val="41BE0B1F"/>
    <w:rsid w:val="425F7260"/>
    <w:rsid w:val="43B31053"/>
    <w:rsid w:val="4407792B"/>
    <w:rsid w:val="444337EE"/>
    <w:rsid w:val="4704354C"/>
    <w:rsid w:val="478E3F7F"/>
    <w:rsid w:val="48F5210B"/>
    <w:rsid w:val="4A847488"/>
    <w:rsid w:val="4B30345E"/>
    <w:rsid w:val="4B424C4F"/>
    <w:rsid w:val="4D066E84"/>
    <w:rsid w:val="50F11823"/>
    <w:rsid w:val="51927FA3"/>
    <w:rsid w:val="52E1101E"/>
    <w:rsid w:val="53280DA2"/>
    <w:rsid w:val="54973FBD"/>
    <w:rsid w:val="55621BF2"/>
    <w:rsid w:val="55DD6017"/>
    <w:rsid w:val="564F1F29"/>
    <w:rsid w:val="57E42213"/>
    <w:rsid w:val="581C0B01"/>
    <w:rsid w:val="59C81C62"/>
    <w:rsid w:val="5A754877"/>
    <w:rsid w:val="5BFE219A"/>
    <w:rsid w:val="5C180C7F"/>
    <w:rsid w:val="5C3242F4"/>
    <w:rsid w:val="5C3C3BB3"/>
    <w:rsid w:val="5C741066"/>
    <w:rsid w:val="5C7722FD"/>
    <w:rsid w:val="5C9B6A23"/>
    <w:rsid w:val="5CAE51EE"/>
    <w:rsid w:val="5D574C0F"/>
    <w:rsid w:val="5FCA2B30"/>
    <w:rsid w:val="605A3CA3"/>
    <w:rsid w:val="60913ED0"/>
    <w:rsid w:val="615030F2"/>
    <w:rsid w:val="618D1DCC"/>
    <w:rsid w:val="6344516A"/>
    <w:rsid w:val="65FC081D"/>
    <w:rsid w:val="696332A5"/>
    <w:rsid w:val="6BD6020E"/>
    <w:rsid w:val="6D08069D"/>
    <w:rsid w:val="6E0C43BB"/>
    <w:rsid w:val="6FAF17EF"/>
    <w:rsid w:val="6FB40867"/>
    <w:rsid w:val="71B77EB7"/>
    <w:rsid w:val="71E15C0D"/>
    <w:rsid w:val="72D05399"/>
    <w:rsid w:val="73533AF3"/>
    <w:rsid w:val="73662AE6"/>
    <w:rsid w:val="754B267C"/>
    <w:rsid w:val="75F1698E"/>
    <w:rsid w:val="773263A1"/>
    <w:rsid w:val="77570364"/>
    <w:rsid w:val="78601C0A"/>
    <w:rsid w:val="796F2C3E"/>
    <w:rsid w:val="7A8A6919"/>
    <w:rsid w:val="7AEF4831"/>
    <w:rsid w:val="7BF73FE6"/>
    <w:rsid w:val="7CAC2851"/>
    <w:rsid w:val="7D282DE9"/>
    <w:rsid w:val="7D9C6BF5"/>
    <w:rsid w:val="7E3E7093"/>
    <w:rsid w:val="7F3A2FF0"/>
    <w:rsid w:val="7F3F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next w:val="1"/>
    <w:link w:val="45"/>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7">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8">
    <w:name w:val="heading 3"/>
    <w:next w:val="1"/>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9">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10">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11">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12">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13">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4">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djustRightInd/>
      <w:spacing w:after="120"/>
      <w:ind w:firstLine="420"/>
      <w:jc w:val="both"/>
      <w:textAlignment w:val="auto"/>
    </w:pPr>
    <w:rPr>
      <w:rFonts w:ascii="Times New Roman"/>
      <w:kern w:val="2"/>
      <w:sz w:val="32"/>
    </w:rPr>
  </w:style>
  <w:style w:type="paragraph" w:styleId="3">
    <w:name w:val="Body Text"/>
    <w:basedOn w:val="1"/>
    <w:next w:val="1"/>
    <w:link w:val="39"/>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Body Text First Indent 2"/>
    <w:basedOn w:val="5"/>
    <w:next w:val="1"/>
    <w:qFormat/>
    <w:uiPriority w:val="0"/>
    <w:pPr>
      <w:ind w:firstLine="420"/>
    </w:pPr>
  </w:style>
  <w:style w:type="paragraph" w:styleId="5">
    <w:name w:val="Body Text Indent"/>
    <w:basedOn w:val="1"/>
    <w:next w:val="1"/>
    <w:qFormat/>
    <w:uiPriority w:val="99"/>
    <w:pPr>
      <w:spacing w:after="120"/>
      <w:ind w:left="420" w:leftChars="200"/>
    </w:pPr>
    <w:rPr>
      <w:kern w:val="0"/>
      <w:lang w:val="zh-CN"/>
    </w:rPr>
  </w:style>
  <w:style w:type="paragraph" w:styleId="15">
    <w:name w:val="table of authorities"/>
    <w:basedOn w:val="1"/>
    <w:next w:val="1"/>
    <w:qFormat/>
    <w:uiPriority w:val="0"/>
    <w:pPr>
      <w:ind w:left="420" w:leftChars="200"/>
    </w:pPr>
  </w:style>
  <w:style w:type="paragraph" w:styleId="16">
    <w:name w:val="annotation text"/>
    <w:basedOn w:val="1"/>
    <w:qFormat/>
    <w:uiPriority w:val="0"/>
    <w:pPr>
      <w:jc w:val="left"/>
    </w:pPr>
  </w:style>
  <w:style w:type="paragraph" w:styleId="17">
    <w:name w:val="footer"/>
    <w:basedOn w:val="1"/>
    <w:qFormat/>
    <w:uiPriority w:val="99"/>
    <w:pPr>
      <w:tabs>
        <w:tab w:val="center" w:pos="4153"/>
        <w:tab w:val="right" w:pos="8306"/>
      </w:tabs>
      <w:snapToGrid w:val="0"/>
      <w:jc w:val="left"/>
    </w:pPr>
    <w:rPr>
      <w:kern w:val="0"/>
      <w:sz w:val="18"/>
      <w:szCs w:val="18"/>
      <w:lang w:val="zh-CN"/>
    </w:rPr>
  </w:style>
  <w:style w:type="paragraph" w:styleId="18">
    <w:name w:val="header"/>
    <w:basedOn w:val="1"/>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9">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20">
    <w:name w:val="table of figures"/>
    <w:basedOn w:val="1"/>
    <w:next w:val="1"/>
    <w:qFormat/>
    <w:uiPriority w:val="0"/>
    <w:pPr>
      <w:ind w:left="200" w:leftChars="200" w:hanging="200" w:hangingChars="200"/>
    </w:pPr>
  </w:style>
  <w:style w:type="paragraph" w:styleId="21">
    <w:name w:val="Normal (Web)"/>
    <w:basedOn w:val="1"/>
    <w:qFormat/>
    <w:uiPriority w:val="0"/>
    <w:pPr>
      <w:spacing w:beforeAutospacing="1" w:afterAutospacing="1"/>
      <w:jc w:val="left"/>
    </w:pPr>
    <w:rPr>
      <w:kern w:val="0"/>
      <w:sz w:val="24"/>
    </w:rPr>
  </w:style>
  <w:style w:type="paragraph" w:styleId="22">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qFormat/>
    <w:uiPriority w:val="99"/>
    <w:rPr>
      <w:color w:val="0000FF"/>
      <w:u w:val="single"/>
    </w:rPr>
  </w:style>
  <w:style w:type="character" w:styleId="29">
    <w:name w:val="HTML Code"/>
    <w:basedOn w:val="25"/>
    <w:qFormat/>
    <w:uiPriority w:val="0"/>
    <w:rPr>
      <w:rFonts w:ascii="Courier New" w:hAnsi="Courier New"/>
      <w:sz w:val="20"/>
    </w:rPr>
  </w:style>
  <w:style w:type="paragraph" w:customStyle="1" w:styleId="30">
    <w:name w:val="无间隔1"/>
    <w:basedOn w:val="1"/>
    <w:unhideWhenUsed/>
    <w:qFormat/>
    <w:uiPriority w:val="0"/>
    <w:pPr>
      <w:spacing w:line="400" w:lineRule="exact"/>
    </w:pPr>
    <w:rPr>
      <w:rFonts w:ascii="Times New Roman" w:hAnsi="Times New Roman"/>
    </w:rPr>
  </w:style>
  <w:style w:type="paragraph" w:customStyle="1" w:styleId="31">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Table Text"/>
    <w:basedOn w:val="1"/>
    <w:semiHidden/>
    <w:qFormat/>
    <w:uiPriority w:val="0"/>
    <w:rPr>
      <w:rFonts w:ascii="宋体" w:hAnsi="宋体" w:cs="宋体"/>
    </w:rPr>
  </w:style>
  <w:style w:type="paragraph" w:customStyle="1" w:styleId="33">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34">
    <w:name w:val="标题3-1"/>
    <w:basedOn w:val="8"/>
    <w:qFormat/>
    <w:uiPriority w:val="0"/>
    <w:pPr>
      <w:tabs>
        <w:tab w:val="left" w:pos="425"/>
      </w:tabs>
      <w:ind w:left="425" w:hanging="425"/>
    </w:pPr>
    <w:rPr>
      <w:sz w:val="24"/>
    </w:rPr>
  </w:style>
  <w:style w:type="paragraph" w:customStyle="1" w:styleId="35">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36">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37">
    <w:name w:val="标题 2 Char"/>
    <w:qFormat/>
    <w:uiPriority w:val="0"/>
    <w:rPr>
      <w:rFonts w:ascii="Times New Roman" w:hAnsi="Times New Roman" w:eastAsia="楷体_GB2312" w:cs="楷体_GB2312"/>
      <w:sz w:val="32"/>
      <w:szCs w:val="32"/>
    </w:rPr>
  </w:style>
  <w:style w:type="character" w:customStyle="1" w:styleId="38">
    <w:name w:val="标题 1 Char"/>
    <w:qFormat/>
    <w:uiPriority w:val="0"/>
    <w:rPr>
      <w:rFonts w:ascii="黑体" w:hAnsi="黑体" w:eastAsia="黑体" w:cs="黑体"/>
      <w:kern w:val="44"/>
      <w:sz w:val="32"/>
      <w:szCs w:val="32"/>
    </w:rPr>
  </w:style>
  <w:style w:type="character" w:customStyle="1" w:styleId="39">
    <w:name w:val="正文文本 Char"/>
    <w:link w:val="3"/>
    <w:qFormat/>
    <w:uiPriority w:val="0"/>
    <w:rPr>
      <w:rFonts w:ascii="Times New Roman" w:hAnsi="Times New Roman" w:eastAsia="宋体" w:cs="宋体"/>
      <w:spacing w:val="-6"/>
      <w:sz w:val="32"/>
      <w:szCs w:val="32"/>
    </w:rPr>
  </w:style>
  <w:style w:type="character" w:customStyle="1" w:styleId="40">
    <w:name w:val="标题 2 Char1"/>
    <w:qFormat/>
    <w:uiPriority w:val="0"/>
    <w:rPr>
      <w:rFonts w:ascii="Times New Roman" w:hAnsi="Times New Roman" w:eastAsia="楷体_GB2312" w:cs="楷体_GB2312"/>
      <w:sz w:val="32"/>
      <w:szCs w:val="32"/>
    </w:rPr>
  </w:style>
  <w:style w:type="character" w:customStyle="1" w:styleId="41">
    <w:name w:val="标题 1 Char1"/>
    <w:qFormat/>
    <w:uiPriority w:val="0"/>
    <w:rPr>
      <w:rFonts w:ascii="黑体" w:hAnsi="黑体" w:eastAsia="黑体" w:cs="黑体"/>
      <w:kern w:val="44"/>
      <w:sz w:val="32"/>
      <w:szCs w:val="32"/>
    </w:rPr>
  </w:style>
  <w:style w:type="character" w:customStyle="1" w:styleId="42">
    <w:name w:val="标题 2 Char2"/>
    <w:qFormat/>
    <w:uiPriority w:val="0"/>
    <w:rPr>
      <w:rFonts w:ascii="Times New Roman" w:hAnsi="Times New Roman" w:eastAsia="楷体_GB2312" w:cs="楷体_GB2312"/>
      <w:sz w:val="32"/>
      <w:szCs w:val="32"/>
    </w:rPr>
  </w:style>
  <w:style w:type="character" w:customStyle="1" w:styleId="43">
    <w:name w:val="标题 1 Char2"/>
    <w:qFormat/>
    <w:uiPriority w:val="0"/>
    <w:rPr>
      <w:rFonts w:ascii="黑体" w:hAnsi="黑体" w:eastAsia="黑体" w:cs="黑体"/>
      <w:kern w:val="44"/>
      <w:sz w:val="32"/>
      <w:szCs w:val="32"/>
    </w:rPr>
  </w:style>
  <w:style w:type="character" w:customStyle="1" w:styleId="44">
    <w:name w:val="标题 2 Char3"/>
    <w:qFormat/>
    <w:uiPriority w:val="0"/>
    <w:rPr>
      <w:rFonts w:ascii="楷体_GB2312" w:hAnsi="楷体_GB2312" w:eastAsia="楷体_GB2312" w:cs="楷体_GB2312"/>
      <w:sz w:val="32"/>
      <w:szCs w:val="32"/>
    </w:rPr>
  </w:style>
  <w:style w:type="character" w:customStyle="1" w:styleId="45">
    <w:name w:val="标题 1 Char3"/>
    <w:link w:val="6"/>
    <w:qFormat/>
    <w:uiPriority w:val="0"/>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785d0e06-2ed7-4239-bfba-87770a095b61</errorID>
      <errorWord>》</errorWord>
      <group>L1_Word</group>
      <groupName>字词问题</groupName>
      <ability>L2_Typo</ability>
      <abilityName>字词错误</abilityName>
      <candidateList>
        <item>》等</item>
      </candidateList>
      <explain/>
      <paraID>15FEAF00</paraID>
      <start>36</start>
      <end>37</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6710c-d4ca-4df2-8946-8d912a74fc8c}">
  <ds:schemaRefs/>
</ds:datastoreItem>
</file>

<file path=customXml/itemProps3.xml><?xml version="1.0" encoding="utf-8"?>
<ds:datastoreItem xmlns:ds="http://schemas.openxmlformats.org/officeDocument/2006/customXml" ds:itemID="{0ECE4E1E-1059-4B9C-92AC-1D6FB00792A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1616</Words>
  <Characters>1741</Characters>
  <Lines>1</Lines>
  <Paragraphs>1</Paragraphs>
  <TotalTime>3</TotalTime>
  <ScaleCrop>false</ScaleCrop>
  <LinksUpToDate>false</LinksUpToDate>
  <CharactersWithSpaces>1749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2025-07-14T00:16:00Z</dcterms:created>
  <dc:creator>19733</dc:creator>
  <cp:lastModifiedBy>可疼</cp:lastModifiedBy>
  <cp:lastPrinted>2026-06-24T03:10:00Z</cp:lastPrinted>
  <dcterms:modified xsi:type="dcterms:W3CDTF">2026-07-20T04:10:10Z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eyJoZGlkIjoiZThmM2NlMWQ3ODJhNWFmOWMyOWVkYjMzZDY0ZWI0MTAiLCJ1c2VySWQiOiIzNTUzOTI1ODEifQ==</vt:lpwstr>
  </property>
  <property fmtid="{D5CDD505-2E9C-101B-9397-08002B2CF9AE}" pid="4" name="ICV">
    <vt:lpwstr>1C13C76C29154002B56E8D041EB605A3_13</vt:lpwstr>
  </property>
  <property fmtid="{D5CDD505-2E9C-101B-9397-08002B2CF9AE}" pid="5" name="标题_1">
    <vt:lpwstr>郑州航空大都市商业管理有限公司_x000B_关于中原医科城10号地块新型便民商业中心前期策划咨询服务项目启动询价的请示</vt:lpwstr>
  </property>
  <property fmtid="{D5CDD505-2E9C-101B-9397-08002B2CF9AE}" pid="6" name="附件说明_1">
    <vt:lpwstr>附件：1. 郑州航空大都市商业管理有限公司选聘商业前期策划咨询服务商采购公告2. 响应文件</vt:lpwstr>
  </property>
  <property fmtid="{D5CDD505-2E9C-101B-9397-08002B2CF9AE}" pid="7" name="成文日期_1">
    <vt:lpwstr>2026年7月20日附件1：郑州航空大都市商业管理有限公司选聘商业前期策划咨询服务商采购公告郑州航空大都市商业管理有限公司选聘商业前期策划咨询服务商已具备采购条件，采购人为郑州航空大都市商业管理有限公司（以下简称“采购人”），现启动本项目的采购工作，特向符合条件的潜在供应商发布采购公告。一、项目概况与采购范围1.项目名称：中原医科城10号地块新型便民商业中心前期策划咨询服务2.项目地点：郑州航空港经济综合实验区中原医学科学城东海路以南、雍州路以东（10号地块）。3.采购范围：本次采购中选服务商需完整提供三大板块专业咨询服务，形成完整可落地的项目策划报告，服务内容包含：（1）前期调研与市场研究：开展宏观发展环境、区域周边商业市场、同类典型项目、地块自身开发条件、标杆案例对比分析，同步完成目标客群专项调研；（2）项目定位研究：结合市场调研结果完成定位逻辑推导，明确项目整体定位、形象定位、客群分层定位，同步输出建筑规模、业态布局、功能分区及产品配置建议；（3）项目经济测算：完成租售定价体系测算、全周期开发成本核算，开展项目整体经济效益测算分析。4.服务期限：自服务合同签订之日起，至10号地块项目开工前期策划配合工作全部结束为止；若项目规划、业态方案发生重大调整，服务商需免费配套优化报告直至项目落地。二、供应商资格要求（一） 资质要求中华人民共和国境内合法注册并有效存续的独立法人，具有有效的营业执照。（二） 业绩要求 响应人应提供近三年内（2023年1月1日至今）承接过1至3项相关工作业绩。（三） 信誉要求1. 供应商需提供在“中国执行信息公开网”网站（https：//zxgk.court.gov.cn/shixin）查询相关主体（含供应商、法定代表人）未列入失信被执行人查询信息，若被列入失信被执行人名单，拒绝其参与本次采购活动，其响应无效。2. 对于供应商查询过程中输入信息或查询路径不准确等的，可由采购人在评审会议当天进行查询复核并留档，以查询复核结果为准。本项目采取资格后审，资格审查不合格的供应商的响应文件将按无效标处理。三、项目评审规则询价采购：本项目采取最低价法，选取报价最低（含税）作为成交单位。四、采购文件获取采购文件获取时间：公告开始时间至响应文件接收截止时间。采购文件获取：采购公告网页自行下载（https：//www.hkgfztz.com）。五、响应文件的递交1.响应文件接收截止时间： 2026年6月28日23时59分。2.响应文件接收地点：郑州市航空港区兴瑞汇金国际，文件密封后可由响应人直接送达或采用邮寄方式送达，若采用邮寄方式的需自行考虑邮件到达时间。3.文件接收联系人及联系方式： 刘老师  13803713268 4.其他有关事项：响应文件以到达时间为准，逾期送达的或者未送达指定地点的响应文件，采购人不予受理。六、发布公告的媒介本次采购公告在河南航空港发展投资集团有限公司官方网站（https：//www.hkgfztz.com）上发布。采购人对任何转载信息及由此产生的后果均不承担任何责任。七、联系方式招标人： 郑州航空大都市商业管理有限公司 地  址： 郑州市航空港区兴瑞汇金国际2号楼 联系人： 刘老师 联系电话： 13803713268  2026 年 7 月 20 日_x000C_附件2郑州航空大都市商业管理有限公司中原医科城10号地块新型便民商业中心前期策划咨询服务项目响应文件响应人：                         报价应附材料：1.报价函（格式见模板加盖公章）。2.授权委托书、授权代表身份证复印件（加盖公章）。3.资质证书（加盖公章）。4.信用查询证明（加盖公章）。5.业绩合同扫描件或者复印件，按采购公告要求提供（加盖公章）。6.其他资料（按照采购公告要求提供）。报价供应商对所提供的资料真实性和完整性负责并对此承担责任。_x000C_报价函_x0007__x0007_1_x0007_项目名称_x0007_郑州航空大都市商业管理有限公司中原医科城10号地块新型便民商业中心前期策划咨询服务项目_x0007__x0007_2_x0007_采购内容_x0007_本次采购中选服务商需完整提供三大板块专业咨询服务，形成完整可落地的项目策划报告，服务内容包含：前期调研与市场研究：开展宏观发展环境、区域周边商业市场、同类典型项目、地块自身开发条件、标杆案例对比分析，同步完成目标客群专项调研；项目定位研究：结合市场调研结果完成定位逻辑推导，明确项目整体定位、形象定位、客群分层定位，同步输出建筑规模、业态布局、功能分区及产品配置建议；项目经济测算：完成租售定价体系测算、全周期开发成本核算，开展项目整体经济效益测算分析。_x0007__x0007_3_x0007_响应供应商名称_x0007__x0007__x0007_4_x0007_响应报价（含税）_x0007_小写：¥            元；大写：               。_x0007__x0007_5_x0007_响应报价（不含税）_x0007_小写：¥            元；大写：               。_x0007__x0007_6_x0007_增值税税率_x0007_                          %_x0007__x0007_7_x0007_服务期限_x0007_自服务合同签订之日起，至10号地块项目开工前期策划配合工作全部结束为止；若项目规划、业态方案发生重大调整，服务商需免费配套优化报告直至项目落地。_x0007__x0007_8_x0007_联系地址_x0007__x0007__x0007_9_x0007_联系人及联系方式_x0007_姓名：               手机号码：_x0007__x0007_10_x0007_备注_x0007_1.响应报价超过采购控制价/采购预算的报价视为无效报价；2.报价应附材料要求：附营业执照、法定代表人身份证正反面复印件、授权委托书（法人代表参加时不提供）、授权代表身份证复印件（法人代表参加时不提供）、业绩合同扫描件或者复印件（采购公告要求份数）、信用查询证明，各一份并加盖公章；报价供应商对所提供的资料真实性和完整性负责并承担相应责任。_x0007__x0007_报价人：（盖公章）_x0007__x0007__x0007_日期_x0007_年  月  日_x0007__x0007_授权委托函委托方（法人）：                 （统一社会信用代码：                 ）法定代表人：             联系电话：             受托方（代理人）：             身份证号：             联系电话：             一、委托事项委托受托人代为签署、澄清确认、递交、撤回、修改    （项目名称）       响应文件、签订合同和处理有关事宜。二、委托权限受托人在上述委托事项范围内，代为行使相关权利、签署相关文件，我方均予以认可并承担全部法律责任，受托人无转委托权。三、委托期限自     年    月    日至      年    月    日（或：至委托事项办理完毕之日止）。委托方（盖章）：        法定代表人（签字/盖章）：        附件：法人代表身份证（正反面）、授权委托代表身份证（正反面）日期：                                          年    月    日</vt:lpwstr>
  </property>
  <property fmtid="{D5CDD505-2E9C-101B-9397-08002B2CF9AE}" pid="8" name="附件_1">
    <vt:lpwstr>附件1：郑州航空大都市商业管理有限公司选聘商业前期策划咨询服务商采购公告</vt:lpwstr>
  </property>
  <property fmtid="{D5CDD505-2E9C-101B-9397-08002B2CF9AE}" pid="9" name="附件_2">
    <vt:lpwstr>附件2</vt:lpwstr>
  </property>
  <property fmtid="{D5CDD505-2E9C-101B-9397-08002B2CF9AE}" pid="10" name="主送机关">
    <vt:lpwstr>公司领导</vt:lpwstr>
  </property>
  <property fmtid="{D5CDD505-2E9C-101B-9397-08002B2CF9AE}" pid="11" name="发文机关署名">
    <vt:lpwstr>郑州航空大都市商业管理有限公司</vt:lpwstr>
  </property>
</Properties>
</file>