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965BDA">
      <w:pPr>
        <w:keepNext w:val="0"/>
        <w:keepLines w:val="0"/>
        <w:pageBreakBefore w:val="0"/>
        <w:widowControl/>
        <w:suppressLineNumbers w:val="0"/>
        <w:kinsoku/>
        <w:wordWrap/>
        <w:autoSpaceDE/>
        <w:autoSpaceDN/>
        <w:bidi w:val="0"/>
        <w:spacing w:line="560" w:lineRule="exact"/>
        <w:jc w:val="left"/>
        <w:textAlignment w:val="auto"/>
        <w:rPr>
          <w:rFonts w:hint="eastAsia" w:ascii="仿宋_GB2312" w:hAnsi="仿宋_GB2312" w:eastAsia="仿宋_GB2312" w:cs="仿宋_GB2312"/>
          <w:b/>
          <w:bCs/>
          <w:sz w:val="32"/>
          <w:szCs w:val="32"/>
          <w:highlight w:val="none"/>
          <w:lang w:val="en-US" w:eastAsia="zh-CN"/>
        </w:rPr>
      </w:pPr>
      <w:bookmarkStart w:id="0" w:name="_GoBack"/>
      <w:bookmarkEnd w:id="0"/>
    </w:p>
    <w:p w14:paraId="43007DB3">
      <w:pPr>
        <w:keepNext w:val="0"/>
        <w:keepLines w:val="0"/>
        <w:pageBreakBefore w:val="0"/>
        <w:widowControl/>
        <w:suppressLineNumbers w:val="0"/>
        <w:kinsoku/>
        <w:wordWrap/>
        <w:autoSpaceDE/>
        <w:autoSpaceDN/>
        <w:bidi w:val="0"/>
        <w:spacing w:line="560" w:lineRule="exact"/>
        <w:jc w:val="center"/>
        <w:textAlignment w:val="auto"/>
        <w:rPr>
          <w:rFonts w:hint="eastAsia" w:ascii="方正小标宋简体" w:hAnsi="方正小标宋简体" w:eastAsia="方正小标宋简体" w:cs="方正小标宋简体"/>
          <w:b/>
          <w:bCs/>
          <w:sz w:val="44"/>
          <w:szCs w:val="44"/>
          <w:highlight w:val="none"/>
          <w:lang w:val="en-US" w:eastAsia="zh-CN"/>
        </w:rPr>
      </w:pPr>
      <w:r>
        <w:rPr>
          <w:rFonts w:hint="eastAsia" w:ascii="方正小标宋简体" w:hAnsi="方正小标宋简体" w:eastAsia="方正小标宋简体" w:cs="方正小标宋简体"/>
          <w:b/>
          <w:bCs/>
          <w:sz w:val="44"/>
          <w:szCs w:val="44"/>
          <w:highlight w:val="none"/>
          <w:lang w:val="en-US" w:eastAsia="zh-CN"/>
        </w:rPr>
        <w:t>评审规则</w:t>
      </w:r>
    </w:p>
    <w:p w14:paraId="103779ED">
      <w:pPr>
        <w:numPr>
          <w:ilvl w:val="0"/>
          <w:numId w:val="0"/>
        </w:num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评审小组会将对各投标人的投标报价、技术和</w:t>
      </w:r>
      <w:r>
        <w:rPr>
          <w:rFonts w:hint="eastAsia" w:ascii="仿宋_GB2312" w:hAnsi="仿宋_GB2312" w:eastAsia="仿宋_GB2312" w:cs="仿宋_GB2312"/>
          <w:sz w:val="32"/>
          <w:szCs w:val="32"/>
          <w:highlight w:val="none"/>
          <w:lang w:eastAsia="zh-CN"/>
        </w:rPr>
        <w:t>综合</w:t>
      </w:r>
      <w:r>
        <w:rPr>
          <w:rFonts w:hint="eastAsia" w:ascii="仿宋_GB2312" w:hAnsi="仿宋_GB2312" w:eastAsia="仿宋_GB2312" w:cs="仿宋_GB2312"/>
          <w:sz w:val="32"/>
          <w:szCs w:val="32"/>
          <w:highlight w:val="none"/>
        </w:rPr>
        <w:t>方面进行综合评审，评审小组各成员应当独立对每个有效投标人的投标文件进行评价、打分。</w:t>
      </w:r>
      <w:r>
        <w:rPr>
          <w:rFonts w:hint="eastAsia" w:ascii="仿宋_GB2312" w:hAnsi="仿宋_GB2312" w:eastAsia="仿宋_GB2312" w:cs="仿宋_GB2312"/>
          <w:sz w:val="32"/>
          <w:szCs w:val="32"/>
          <w:highlight w:val="none"/>
          <w:lang w:eastAsia="zh-CN"/>
        </w:rPr>
        <w:t>计算</w:t>
      </w:r>
      <w:r>
        <w:rPr>
          <w:rFonts w:hint="eastAsia" w:ascii="仿宋_GB2312" w:hAnsi="仿宋_GB2312" w:eastAsia="仿宋_GB2312" w:cs="仿宋_GB2312"/>
          <w:sz w:val="32"/>
          <w:szCs w:val="32"/>
          <w:highlight w:val="none"/>
          <w:lang w:val="en-US" w:eastAsia="zh-CN"/>
        </w:rPr>
        <w:t>评审小组成员平均分</w:t>
      </w:r>
      <w:r>
        <w:rPr>
          <w:rFonts w:hint="eastAsia" w:ascii="仿宋_GB2312" w:hAnsi="仿宋_GB2312" w:eastAsia="仿宋_GB2312" w:cs="仿宋_GB2312"/>
          <w:sz w:val="32"/>
          <w:szCs w:val="32"/>
          <w:highlight w:val="none"/>
        </w:rPr>
        <w:t>，得出各投标人的最终评审分，按最终评审分由高到低顺序排列。得分相同的，按投标报价由低到高顺序排列。得分且投标报价相同的，按技术指标优劣顺序排列，并形成评标意见。</w:t>
      </w:r>
    </w:p>
    <w:p w14:paraId="71BFB57F">
      <w:pPr>
        <w:numPr>
          <w:ilvl w:val="0"/>
          <w:numId w:val="0"/>
        </w:numPr>
        <w:spacing w:line="560" w:lineRule="exact"/>
        <w:ind w:firstLine="640" w:firstLineChars="200"/>
        <w:rPr>
          <w:rFonts w:hint="eastAsia" w:ascii="方正小标宋简体" w:hAnsi="方正小标宋简体" w:eastAsia="方正小标宋简体" w:cs="方正小标宋简体"/>
          <w:b/>
          <w:bCs/>
          <w:sz w:val="44"/>
          <w:szCs w:val="44"/>
          <w:highlight w:val="none"/>
          <w:lang w:val="en-US" w:eastAsia="zh-CN"/>
        </w:rPr>
      </w:pPr>
      <w:r>
        <w:rPr>
          <w:rFonts w:hint="eastAsia" w:ascii="仿宋_GB2312" w:hAnsi="仿宋_GB2312" w:eastAsia="仿宋_GB2312" w:cs="仿宋_GB2312"/>
          <w:sz w:val="32"/>
          <w:szCs w:val="32"/>
          <w:highlight w:val="none"/>
        </w:rPr>
        <w:t>各投标人的综合得分为:综合得分=价格部分得分+技术部分得分+综合部分得分，总分为100分，其中:价格部分得分</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0分，技术部分得分</w:t>
      </w:r>
      <w:r>
        <w:rPr>
          <w:rFonts w:hint="eastAsia" w:ascii="仿宋_GB2312" w:hAnsi="仿宋_GB2312" w:eastAsia="仿宋_GB2312" w:cs="仿宋_GB2312"/>
          <w:sz w:val="32"/>
          <w:szCs w:val="32"/>
          <w:highlight w:val="none"/>
          <w:lang w:val="en-US" w:eastAsia="zh-CN"/>
        </w:rPr>
        <w:t>30</w:t>
      </w:r>
      <w:r>
        <w:rPr>
          <w:rFonts w:hint="eastAsia" w:ascii="仿宋_GB2312" w:hAnsi="仿宋_GB2312" w:eastAsia="仿宋_GB2312" w:cs="仿宋_GB2312"/>
          <w:sz w:val="32"/>
          <w:szCs w:val="32"/>
          <w:highlight w:val="none"/>
        </w:rPr>
        <w:t>分、综合部分得分</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分。</w:t>
      </w:r>
    </w:p>
    <w:tbl>
      <w:tblPr>
        <w:tblStyle w:val="15"/>
        <w:tblW w:w="92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876"/>
        <w:gridCol w:w="5663"/>
        <w:gridCol w:w="1345"/>
      </w:tblGrid>
      <w:tr w14:paraId="1A629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362" w:type="dxa"/>
            <w:noWrap w:val="0"/>
            <w:vAlign w:val="center"/>
          </w:tcPr>
          <w:p w14:paraId="405ABB04">
            <w:pPr>
              <w:keepNext w:val="0"/>
              <w:keepLines w:val="0"/>
              <w:widowControl/>
              <w:suppressLineNumbers w:val="0"/>
              <w:jc w:val="center"/>
              <w:rPr>
                <w:rFonts w:hint="eastAsia" w:ascii="黑体" w:hAnsi="黑体" w:eastAsia="黑体" w:cs="黑体"/>
                <w:sz w:val="32"/>
                <w:szCs w:val="32"/>
                <w:highlight w:val="none"/>
                <w:vertAlign w:val="baseline"/>
              </w:rPr>
            </w:pPr>
            <w:r>
              <w:rPr>
                <w:rFonts w:hint="eastAsia" w:ascii="黑体" w:hAnsi="黑体" w:eastAsia="黑体" w:cs="黑体"/>
                <w:b/>
                <w:bCs/>
                <w:i w:val="0"/>
                <w:iCs w:val="0"/>
                <w:caps w:val="0"/>
                <w:color w:val="0F1115"/>
                <w:spacing w:val="0"/>
                <w:kern w:val="0"/>
                <w:sz w:val="32"/>
                <w:szCs w:val="32"/>
                <w:highlight w:val="none"/>
                <w:lang w:val="en-US" w:eastAsia="zh-CN" w:bidi="ar"/>
              </w:rPr>
              <w:t>评分项</w:t>
            </w:r>
          </w:p>
        </w:tc>
        <w:tc>
          <w:tcPr>
            <w:tcW w:w="876" w:type="dxa"/>
            <w:noWrap w:val="0"/>
            <w:vAlign w:val="center"/>
          </w:tcPr>
          <w:p w14:paraId="05C6E0F0">
            <w:pPr>
              <w:keepNext w:val="0"/>
              <w:keepLines w:val="0"/>
              <w:widowControl/>
              <w:suppressLineNumbers w:val="0"/>
              <w:jc w:val="center"/>
              <w:rPr>
                <w:rFonts w:hint="eastAsia" w:ascii="黑体" w:hAnsi="黑体" w:eastAsia="黑体" w:cs="黑体"/>
                <w:sz w:val="32"/>
                <w:szCs w:val="32"/>
                <w:highlight w:val="none"/>
                <w:vertAlign w:val="baseline"/>
              </w:rPr>
            </w:pPr>
            <w:r>
              <w:rPr>
                <w:rFonts w:hint="eastAsia" w:ascii="黑体" w:hAnsi="黑体" w:eastAsia="黑体" w:cs="黑体"/>
                <w:b/>
                <w:bCs/>
                <w:i w:val="0"/>
                <w:iCs w:val="0"/>
                <w:caps w:val="0"/>
                <w:color w:val="0F1115"/>
                <w:spacing w:val="0"/>
                <w:kern w:val="0"/>
                <w:sz w:val="32"/>
                <w:szCs w:val="32"/>
                <w:highlight w:val="none"/>
                <w:lang w:val="en-US" w:eastAsia="zh-CN" w:bidi="ar"/>
              </w:rPr>
              <w:t>分值</w:t>
            </w:r>
          </w:p>
        </w:tc>
        <w:tc>
          <w:tcPr>
            <w:tcW w:w="5663" w:type="dxa"/>
            <w:noWrap w:val="0"/>
            <w:vAlign w:val="center"/>
          </w:tcPr>
          <w:p w14:paraId="1D6E3805">
            <w:pPr>
              <w:keepNext w:val="0"/>
              <w:keepLines w:val="0"/>
              <w:widowControl/>
              <w:suppressLineNumbers w:val="0"/>
              <w:jc w:val="center"/>
              <w:rPr>
                <w:rFonts w:hint="eastAsia" w:ascii="黑体" w:hAnsi="黑体" w:eastAsia="黑体" w:cs="黑体"/>
                <w:sz w:val="32"/>
                <w:szCs w:val="32"/>
                <w:highlight w:val="none"/>
                <w:vertAlign w:val="baseline"/>
              </w:rPr>
            </w:pPr>
            <w:r>
              <w:rPr>
                <w:rFonts w:hint="eastAsia" w:ascii="黑体" w:hAnsi="黑体" w:eastAsia="黑体" w:cs="黑体"/>
                <w:b/>
                <w:bCs/>
                <w:i w:val="0"/>
                <w:iCs w:val="0"/>
                <w:caps w:val="0"/>
                <w:color w:val="0F1115"/>
                <w:spacing w:val="0"/>
                <w:kern w:val="0"/>
                <w:sz w:val="32"/>
                <w:szCs w:val="32"/>
                <w:highlight w:val="none"/>
                <w:lang w:val="en-US" w:eastAsia="zh-CN" w:bidi="ar"/>
              </w:rPr>
              <w:t>评审内容</w:t>
            </w:r>
          </w:p>
        </w:tc>
        <w:tc>
          <w:tcPr>
            <w:tcW w:w="1345" w:type="dxa"/>
            <w:noWrap w:val="0"/>
            <w:vAlign w:val="center"/>
          </w:tcPr>
          <w:p w14:paraId="254597BC">
            <w:pPr>
              <w:keepNext w:val="0"/>
              <w:keepLines w:val="0"/>
              <w:widowControl/>
              <w:suppressLineNumbers w:val="0"/>
              <w:jc w:val="center"/>
              <w:rPr>
                <w:rFonts w:hint="eastAsia" w:ascii="黑体" w:hAnsi="黑体" w:eastAsia="黑体" w:cs="黑体"/>
                <w:b/>
                <w:bCs/>
                <w:i w:val="0"/>
                <w:iCs w:val="0"/>
                <w:caps w:val="0"/>
                <w:color w:val="0F1115"/>
                <w:spacing w:val="0"/>
                <w:kern w:val="0"/>
                <w:sz w:val="32"/>
                <w:szCs w:val="32"/>
                <w:highlight w:val="none"/>
                <w:lang w:val="en-US" w:eastAsia="zh-CN" w:bidi="ar"/>
              </w:rPr>
            </w:pPr>
            <w:r>
              <w:rPr>
                <w:rFonts w:hint="eastAsia" w:ascii="黑体" w:hAnsi="黑体" w:eastAsia="黑体" w:cs="黑体"/>
                <w:b/>
                <w:bCs/>
                <w:i w:val="0"/>
                <w:iCs w:val="0"/>
                <w:caps w:val="0"/>
                <w:color w:val="0F1115"/>
                <w:spacing w:val="0"/>
                <w:kern w:val="0"/>
                <w:sz w:val="32"/>
                <w:szCs w:val="32"/>
                <w:highlight w:val="none"/>
                <w:lang w:val="en-US" w:eastAsia="zh-CN" w:bidi="ar"/>
              </w:rPr>
              <w:t>打分依据</w:t>
            </w:r>
          </w:p>
        </w:tc>
      </w:tr>
      <w:tr w14:paraId="2E24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2" w:type="dxa"/>
            <w:noWrap w:val="0"/>
            <w:vAlign w:val="center"/>
          </w:tcPr>
          <w:p w14:paraId="389158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2"/>
                <w:sz w:val="30"/>
                <w:szCs w:val="30"/>
                <w:highlight w:val="none"/>
                <w:u w:val="none"/>
                <w:lang w:val="en-US" w:eastAsia="zh-CN" w:bidi="ar-SA"/>
              </w:rPr>
            </w:pPr>
            <w:r>
              <w:rPr>
                <w:rFonts w:hint="eastAsia" w:ascii="仿宋" w:hAnsi="仿宋" w:eastAsia="仿宋" w:cs="仿宋"/>
                <w:i w:val="0"/>
                <w:iCs w:val="0"/>
                <w:color w:val="000000"/>
                <w:kern w:val="0"/>
                <w:sz w:val="30"/>
                <w:szCs w:val="30"/>
                <w:highlight w:val="none"/>
                <w:u w:val="none"/>
                <w:lang w:val="en-US" w:eastAsia="zh-CN" w:bidi="ar"/>
              </w:rPr>
              <w:t>价格部分</w:t>
            </w:r>
          </w:p>
        </w:tc>
        <w:tc>
          <w:tcPr>
            <w:tcW w:w="876" w:type="dxa"/>
            <w:noWrap w:val="0"/>
            <w:vAlign w:val="center"/>
          </w:tcPr>
          <w:p w14:paraId="63D648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sz w:val="30"/>
                <w:szCs w:val="30"/>
                <w:highlight w:val="none"/>
                <w:vertAlign w:val="baseline"/>
              </w:rPr>
            </w:pPr>
            <w:r>
              <w:rPr>
                <w:rFonts w:hint="eastAsia" w:ascii="仿宋" w:hAnsi="仿宋" w:eastAsia="仿宋" w:cs="仿宋"/>
                <w:i w:val="0"/>
                <w:iCs w:val="0"/>
                <w:color w:val="000000"/>
                <w:kern w:val="0"/>
                <w:sz w:val="30"/>
                <w:szCs w:val="30"/>
                <w:highlight w:val="none"/>
                <w:u w:val="none"/>
                <w:lang w:val="en-US" w:eastAsia="zh-CN" w:bidi="ar"/>
              </w:rPr>
              <w:t>60分</w:t>
            </w:r>
          </w:p>
        </w:tc>
        <w:tc>
          <w:tcPr>
            <w:tcW w:w="5663" w:type="dxa"/>
            <w:noWrap w:val="0"/>
            <w:vAlign w:val="center"/>
          </w:tcPr>
          <w:p w14:paraId="6C2EF7B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基准价计算方法：</w:t>
            </w:r>
          </w:p>
          <w:p w14:paraId="5A5E7B21">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1、低于最高投标限价且通过初步评审的投标人为有效投标人，其投标报价为有效报价。</w:t>
            </w:r>
          </w:p>
          <w:p w14:paraId="3500D06F">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2、基准价的计算方法：a.当有效投标人数量在5家以上（不含5家）时，采用二次平均的方法计算基准价，有效投标人的投标报价去掉一个最高报价和一个最低报价的算术平均值为基准价；</w:t>
            </w:r>
          </w:p>
          <w:p w14:paraId="18E635CC">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b.当有效投标人数量在5家及以下（含5家）的，采用一次平均的方法计算基准价，基准价为所有有效投标人投标报价的算术平均值。</w:t>
            </w:r>
          </w:p>
          <w:p w14:paraId="049EB396">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3、a.当报价高于基准价，计算得分公式：报价得分=(1-（报价-基准价）/基准价)×60；</w:t>
            </w:r>
          </w:p>
          <w:p w14:paraId="2B48C354">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b.当报价低于或等于基准价，计算得分公式：报价得分=(1-（基准价-报价）/基准价)×60；</w:t>
            </w:r>
          </w:p>
          <w:p w14:paraId="2690FC2E">
            <w:pPr>
              <w:widowControl/>
              <w:spacing w:line="400" w:lineRule="exact"/>
              <w:ind w:firstLine="0"/>
              <w:jc w:val="left"/>
              <w:textAlignment w:val="center"/>
              <w:rPr>
                <w:rFonts w:hint="default" w:ascii="仿宋" w:hAnsi="仿宋" w:eastAsia="仿宋" w:cs="仿宋"/>
                <w:color w:val="000000"/>
                <w:kern w:val="0"/>
                <w:sz w:val="30"/>
                <w:szCs w:val="30"/>
                <w:highlight w:val="none"/>
                <w:u w:val="none"/>
                <w:lang w:val="en-US" w:eastAsia="zh-CN" w:bidi="ar"/>
              </w:rPr>
            </w:pPr>
            <w:r>
              <w:rPr>
                <w:rFonts w:hint="eastAsia" w:ascii="仿宋" w:hAnsi="仿宋" w:eastAsia="仿宋" w:cs="仿宋"/>
                <w:color w:val="000000"/>
                <w:kern w:val="0"/>
                <w:sz w:val="30"/>
                <w:szCs w:val="30"/>
                <w:highlight w:val="none"/>
                <w:u w:val="none"/>
                <w:lang w:eastAsia="zh-CN" w:bidi="ar"/>
              </w:rPr>
              <w:t>分值计算保留小数点后两位，第三位四舍五入。</w:t>
            </w:r>
          </w:p>
        </w:tc>
        <w:tc>
          <w:tcPr>
            <w:tcW w:w="1345" w:type="dxa"/>
            <w:noWrap w:val="0"/>
            <w:vAlign w:val="center"/>
          </w:tcPr>
          <w:p w14:paraId="34BED6C8">
            <w:pPr>
              <w:pStyle w:val="12"/>
              <w:spacing w:after="0" w:line="400" w:lineRule="exact"/>
              <w:ind w:firstLine="0"/>
              <w:rPr>
                <w:rFonts w:hint="eastAsia" w:ascii="仿宋" w:hAnsi="仿宋" w:eastAsia="仿宋" w:cs="仿宋"/>
                <w:color w:val="000000"/>
                <w:kern w:val="0"/>
                <w:sz w:val="30"/>
                <w:szCs w:val="30"/>
                <w:highlight w:val="none"/>
                <w:u w:val="none"/>
                <w:lang w:eastAsia="zh-CN" w:bidi="ar"/>
              </w:rPr>
            </w:pPr>
            <w:r>
              <w:rPr>
                <w:rFonts w:hint="eastAsia" w:ascii="仿宋" w:hAnsi="仿宋" w:eastAsia="仿宋" w:cs="仿宋"/>
                <w:color w:val="000000"/>
                <w:kern w:val="0"/>
                <w:sz w:val="30"/>
                <w:szCs w:val="30"/>
                <w:highlight w:val="none"/>
                <w:u w:val="none"/>
                <w:lang w:eastAsia="zh-CN" w:bidi="ar"/>
              </w:rPr>
              <w:t>报价函</w:t>
            </w:r>
          </w:p>
        </w:tc>
      </w:tr>
      <w:tr w14:paraId="78B15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trPr>
        <w:tc>
          <w:tcPr>
            <w:tcW w:w="1362" w:type="dxa"/>
            <w:vMerge w:val="restart"/>
            <w:noWrap w:val="0"/>
            <w:vAlign w:val="center"/>
          </w:tcPr>
          <w:p w14:paraId="07C7B7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spacing w:val="0"/>
                <w:kern w:val="0"/>
                <w:szCs w:val="21"/>
                <w:highlight w:val="none"/>
                <w:lang w:val="en-US" w:eastAsia="zh-CN"/>
              </w:rPr>
            </w:pPr>
            <w:r>
              <w:rPr>
                <w:rFonts w:hint="eastAsia" w:ascii="仿宋_GB2312" w:hAnsi="仿宋_GB2312" w:eastAsia="仿宋_GB2312" w:cs="仿宋_GB2312"/>
                <w:sz w:val="32"/>
                <w:szCs w:val="32"/>
                <w:highlight w:val="none"/>
              </w:rPr>
              <w:t>技</w:t>
            </w:r>
            <w:r>
              <w:rPr>
                <w:rFonts w:hint="eastAsia" w:ascii="仿宋" w:hAnsi="仿宋" w:eastAsia="仿宋" w:cs="仿宋"/>
                <w:i w:val="0"/>
                <w:iCs w:val="0"/>
                <w:color w:val="000000"/>
                <w:kern w:val="0"/>
                <w:sz w:val="30"/>
                <w:szCs w:val="30"/>
                <w:highlight w:val="none"/>
                <w:u w:val="none"/>
                <w:lang w:val="en-US" w:eastAsia="zh-CN" w:bidi="ar"/>
              </w:rPr>
              <w:t>术部分</w:t>
            </w:r>
          </w:p>
        </w:tc>
        <w:tc>
          <w:tcPr>
            <w:tcW w:w="876" w:type="dxa"/>
            <w:vMerge w:val="restart"/>
            <w:noWrap w:val="0"/>
            <w:vAlign w:val="center"/>
          </w:tcPr>
          <w:p w14:paraId="4D1F0D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30分</w:t>
            </w:r>
          </w:p>
        </w:tc>
        <w:tc>
          <w:tcPr>
            <w:tcW w:w="5663" w:type="dxa"/>
            <w:noWrap w:val="0"/>
            <w:vAlign w:val="top"/>
          </w:tcPr>
          <w:p w14:paraId="2C74359C">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jc w:val="left"/>
              <w:rPr>
                <w:rFonts w:hint="eastAsia" w:ascii="仿宋" w:hAnsi="仿宋" w:eastAsia="仿宋" w:cs="仿宋"/>
                <w:b w:val="0"/>
                <w:bCs w:val="0"/>
                <w:color w:val="auto"/>
                <w:spacing w:val="0"/>
                <w:kern w:val="2"/>
                <w:sz w:val="30"/>
                <w:szCs w:val="30"/>
                <w:lang w:val="en-US" w:eastAsia="zh-CN" w:bidi="ar-SA"/>
              </w:rPr>
            </w:pPr>
            <w:r>
              <w:rPr>
                <w:rFonts w:hint="eastAsia" w:ascii="仿宋" w:hAnsi="仿宋" w:eastAsia="仿宋" w:cs="仿宋"/>
                <w:b w:val="0"/>
                <w:bCs w:val="0"/>
                <w:color w:val="auto"/>
                <w:spacing w:val="0"/>
                <w:kern w:val="2"/>
                <w:sz w:val="30"/>
                <w:szCs w:val="30"/>
                <w:lang w:val="en-US" w:eastAsia="zh-CN" w:bidi="ar-SA"/>
              </w:rPr>
              <w:t>服务方案对本项目的理解和总体实施思路（m代表分值，满分6分）：</w:t>
            </w:r>
          </w:p>
          <w:p w14:paraId="216CAFBA">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jc w:val="left"/>
              <w:rPr>
                <w:rFonts w:hint="eastAsia" w:ascii="仿宋" w:hAnsi="仿宋" w:eastAsia="仿宋" w:cs="仿宋"/>
                <w:b w:val="0"/>
                <w:bCs w:val="0"/>
                <w:color w:val="auto"/>
                <w:spacing w:val="0"/>
                <w:kern w:val="2"/>
                <w:sz w:val="30"/>
                <w:szCs w:val="30"/>
                <w:lang w:val="en-US" w:eastAsia="zh-CN" w:bidi="ar-SA"/>
              </w:rPr>
            </w:pPr>
            <w:r>
              <w:rPr>
                <w:rFonts w:hint="eastAsia" w:ascii="仿宋" w:hAnsi="仿宋" w:eastAsia="仿宋" w:cs="仿宋"/>
                <w:b w:val="0"/>
                <w:bCs w:val="0"/>
                <w:color w:val="auto"/>
                <w:spacing w:val="0"/>
                <w:kern w:val="2"/>
                <w:sz w:val="30"/>
                <w:szCs w:val="30"/>
                <w:lang w:val="en-US" w:eastAsia="zh-CN" w:bidi="ar-SA"/>
              </w:rPr>
              <w:t>科学、可行、针对性强4＜m≤6；</w:t>
            </w:r>
          </w:p>
          <w:p w14:paraId="1EB8E4C8">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jc w:val="left"/>
              <w:rPr>
                <w:rFonts w:hint="eastAsia" w:ascii="仿宋" w:hAnsi="仿宋" w:eastAsia="仿宋" w:cs="仿宋"/>
                <w:b w:val="0"/>
                <w:bCs w:val="0"/>
                <w:color w:val="auto"/>
                <w:spacing w:val="0"/>
                <w:kern w:val="2"/>
                <w:sz w:val="30"/>
                <w:szCs w:val="30"/>
                <w:lang w:val="en-US" w:eastAsia="zh-CN" w:bidi="ar-SA"/>
              </w:rPr>
            </w:pPr>
            <w:r>
              <w:rPr>
                <w:rFonts w:hint="eastAsia" w:ascii="仿宋" w:hAnsi="仿宋" w:eastAsia="仿宋" w:cs="仿宋"/>
                <w:b w:val="0"/>
                <w:bCs w:val="0"/>
                <w:color w:val="auto"/>
                <w:spacing w:val="0"/>
                <w:kern w:val="2"/>
                <w:sz w:val="30"/>
                <w:szCs w:val="30"/>
                <w:lang w:val="en-US" w:eastAsia="zh-CN" w:bidi="ar-SA"/>
              </w:rPr>
              <w:t>合理、可行、细节待完善2＜m≤4；</w:t>
            </w:r>
          </w:p>
          <w:p w14:paraId="6890E083">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rPr>
                <w:rFonts w:hint="eastAsia" w:ascii="仿宋" w:hAnsi="仿宋" w:eastAsia="仿宋" w:cs="仿宋"/>
                <w:b w:val="0"/>
                <w:bCs w:val="0"/>
                <w:color w:val="auto"/>
                <w:spacing w:val="0"/>
                <w:kern w:val="2"/>
                <w:sz w:val="30"/>
                <w:szCs w:val="30"/>
                <w:highlight w:val="none"/>
                <w:lang w:val="en-US" w:eastAsia="zh-CN"/>
              </w:rPr>
            </w:pPr>
            <w:r>
              <w:rPr>
                <w:rFonts w:hint="eastAsia" w:ascii="仿宋" w:hAnsi="仿宋" w:eastAsia="仿宋" w:cs="仿宋"/>
                <w:b w:val="0"/>
                <w:bCs w:val="0"/>
                <w:color w:val="auto"/>
                <w:spacing w:val="0"/>
                <w:kern w:val="2"/>
                <w:sz w:val="30"/>
                <w:szCs w:val="30"/>
                <w:lang w:val="en-US" w:eastAsia="zh-CN" w:bidi="ar-SA"/>
              </w:rPr>
              <w:t>欠合理，可行性较差，基本满足项目需要0≤m≤2。</w:t>
            </w:r>
          </w:p>
        </w:tc>
        <w:tc>
          <w:tcPr>
            <w:tcW w:w="1345" w:type="dxa"/>
            <w:noWrap w:val="0"/>
            <w:vAlign w:val="center"/>
          </w:tcPr>
          <w:p w14:paraId="3B5F31D7">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sz w:val="30"/>
                <w:szCs w:val="30"/>
                <w:highlight w:val="none"/>
                <w:vertAlign w:val="baseline"/>
              </w:rPr>
            </w:pPr>
          </w:p>
        </w:tc>
      </w:tr>
      <w:tr w14:paraId="4CDA0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362" w:type="dxa"/>
            <w:vMerge w:val="continue"/>
            <w:noWrap w:val="0"/>
            <w:vAlign w:val="center"/>
          </w:tcPr>
          <w:p w14:paraId="266502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32"/>
                <w:szCs w:val="32"/>
                <w:highlight w:val="none"/>
              </w:rPr>
            </w:pPr>
          </w:p>
        </w:tc>
        <w:tc>
          <w:tcPr>
            <w:tcW w:w="876" w:type="dxa"/>
            <w:vMerge w:val="continue"/>
            <w:noWrap w:val="0"/>
            <w:vAlign w:val="center"/>
          </w:tcPr>
          <w:p w14:paraId="525403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30"/>
                <w:szCs w:val="30"/>
                <w:highlight w:val="none"/>
                <w:u w:val="none"/>
                <w:lang w:val="en-US" w:eastAsia="zh-CN" w:bidi="ar"/>
              </w:rPr>
            </w:pPr>
          </w:p>
        </w:tc>
        <w:tc>
          <w:tcPr>
            <w:tcW w:w="5663" w:type="dxa"/>
            <w:noWrap w:val="0"/>
            <w:vAlign w:val="top"/>
          </w:tcPr>
          <w:p w14:paraId="2458B4D1">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服务质量保证措施（m代表分值，满分6分）：</w:t>
            </w:r>
          </w:p>
          <w:p w14:paraId="2076A59F">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科学、可行、针对性强4＜m≤6；</w:t>
            </w:r>
          </w:p>
          <w:p w14:paraId="2FE5504C">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合理、可行、细节待完善2＜m≤4；</w:t>
            </w:r>
          </w:p>
          <w:p w14:paraId="096E394A">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欠合理，可行性较差，基本满足项目需要0≤m≤2。</w:t>
            </w:r>
          </w:p>
        </w:tc>
        <w:tc>
          <w:tcPr>
            <w:tcW w:w="1345" w:type="dxa"/>
            <w:noWrap w:val="0"/>
            <w:vAlign w:val="center"/>
          </w:tcPr>
          <w:p w14:paraId="3892933B">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kern w:val="2"/>
                <w:sz w:val="30"/>
                <w:szCs w:val="30"/>
                <w:highlight w:val="none"/>
                <w:vertAlign w:val="baseline"/>
                <w:lang w:val="en-US" w:eastAsia="zh-CN" w:bidi="ar-SA"/>
              </w:rPr>
            </w:pPr>
          </w:p>
        </w:tc>
      </w:tr>
      <w:tr w14:paraId="7337B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362" w:type="dxa"/>
            <w:vMerge w:val="continue"/>
            <w:noWrap w:val="0"/>
            <w:vAlign w:val="center"/>
          </w:tcPr>
          <w:p w14:paraId="72A136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32"/>
                <w:szCs w:val="32"/>
                <w:highlight w:val="none"/>
              </w:rPr>
            </w:pPr>
          </w:p>
        </w:tc>
        <w:tc>
          <w:tcPr>
            <w:tcW w:w="876" w:type="dxa"/>
            <w:vMerge w:val="continue"/>
            <w:noWrap w:val="0"/>
            <w:vAlign w:val="center"/>
          </w:tcPr>
          <w:p w14:paraId="3299E7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30"/>
                <w:szCs w:val="30"/>
                <w:highlight w:val="none"/>
                <w:u w:val="none"/>
                <w:lang w:val="en-US" w:eastAsia="zh-CN" w:bidi="ar"/>
              </w:rPr>
            </w:pPr>
          </w:p>
        </w:tc>
        <w:tc>
          <w:tcPr>
            <w:tcW w:w="5663" w:type="dxa"/>
            <w:noWrap w:val="0"/>
            <w:vAlign w:val="top"/>
          </w:tcPr>
          <w:p w14:paraId="0B02FB41">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安全管理方案（m代表分值，满分6分）：</w:t>
            </w:r>
          </w:p>
          <w:p w14:paraId="54A9B452">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科学、可行、针对性强4＜m≤6；</w:t>
            </w:r>
          </w:p>
          <w:p w14:paraId="2E731764">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合理、可行、细节待完善2＜m≤4；</w:t>
            </w:r>
          </w:p>
          <w:p w14:paraId="1209D9F0">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欠合理，可行性较差，基本满足项目需要0≤m≤2。</w:t>
            </w:r>
          </w:p>
        </w:tc>
        <w:tc>
          <w:tcPr>
            <w:tcW w:w="1345" w:type="dxa"/>
            <w:noWrap w:val="0"/>
            <w:vAlign w:val="center"/>
          </w:tcPr>
          <w:p w14:paraId="68AD335B">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sz w:val="30"/>
                <w:szCs w:val="30"/>
                <w:highlight w:val="none"/>
                <w:vertAlign w:val="baseline"/>
              </w:rPr>
            </w:pPr>
          </w:p>
        </w:tc>
      </w:tr>
      <w:tr w14:paraId="350F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62" w:type="dxa"/>
            <w:vMerge w:val="continue"/>
            <w:noWrap w:val="0"/>
            <w:vAlign w:val="center"/>
          </w:tcPr>
          <w:p w14:paraId="586E4E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32"/>
                <w:szCs w:val="32"/>
                <w:highlight w:val="none"/>
              </w:rPr>
            </w:pPr>
          </w:p>
        </w:tc>
        <w:tc>
          <w:tcPr>
            <w:tcW w:w="876" w:type="dxa"/>
            <w:vMerge w:val="continue"/>
            <w:noWrap w:val="0"/>
            <w:vAlign w:val="center"/>
          </w:tcPr>
          <w:p w14:paraId="460346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30"/>
                <w:szCs w:val="30"/>
                <w:highlight w:val="none"/>
                <w:u w:val="none"/>
                <w:lang w:val="en-US" w:eastAsia="zh-CN" w:bidi="ar"/>
              </w:rPr>
            </w:pPr>
          </w:p>
        </w:tc>
        <w:tc>
          <w:tcPr>
            <w:tcW w:w="5663" w:type="dxa"/>
            <w:noWrap w:val="0"/>
            <w:vAlign w:val="top"/>
          </w:tcPr>
          <w:p w14:paraId="2A379EFB">
            <w:pPr>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0" w:firstLineChars="0"/>
              <w:jc w:val="left"/>
              <w:rPr>
                <w:rFonts w:hint="default" w:ascii="仿宋" w:hAnsi="仿宋" w:eastAsia="仿宋" w:cs="仿宋"/>
                <w:b w:val="0"/>
                <w:bCs w:val="0"/>
                <w:color w:val="auto"/>
                <w:spacing w:val="0"/>
                <w:kern w:val="2"/>
                <w:sz w:val="30"/>
                <w:szCs w:val="30"/>
                <w:highlight w:val="none"/>
                <w:lang w:val="en-US" w:eastAsia="zh-CN"/>
              </w:rPr>
            </w:pPr>
            <w:r>
              <w:rPr>
                <w:rFonts w:hint="default" w:ascii="仿宋" w:hAnsi="仿宋" w:eastAsia="仿宋" w:cs="仿宋"/>
                <w:b w:val="0"/>
                <w:bCs w:val="0"/>
                <w:color w:val="auto"/>
                <w:spacing w:val="0"/>
                <w:kern w:val="2"/>
                <w:sz w:val="30"/>
                <w:szCs w:val="30"/>
                <w:highlight w:val="none"/>
                <w:lang w:val="en-US" w:eastAsia="zh-CN"/>
              </w:rPr>
              <w:t>培训方案（m代表分值，满分</w:t>
            </w:r>
            <w:r>
              <w:rPr>
                <w:rFonts w:hint="eastAsia" w:ascii="仿宋" w:hAnsi="仿宋" w:eastAsia="仿宋" w:cs="仿宋"/>
                <w:b w:val="0"/>
                <w:bCs w:val="0"/>
                <w:color w:val="auto"/>
                <w:spacing w:val="0"/>
                <w:kern w:val="2"/>
                <w:sz w:val="30"/>
                <w:szCs w:val="30"/>
                <w:highlight w:val="none"/>
                <w:lang w:val="en-US" w:eastAsia="zh-CN"/>
              </w:rPr>
              <w:t>4</w:t>
            </w:r>
            <w:r>
              <w:rPr>
                <w:rFonts w:hint="default" w:ascii="仿宋" w:hAnsi="仿宋" w:eastAsia="仿宋" w:cs="仿宋"/>
                <w:b w:val="0"/>
                <w:bCs w:val="0"/>
                <w:color w:val="auto"/>
                <w:spacing w:val="0"/>
                <w:kern w:val="2"/>
                <w:sz w:val="30"/>
                <w:szCs w:val="30"/>
                <w:highlight w:val="none"/>
                <w:lang w:val="en-US" w:eastAsia="zh-CN"/>
              </w:rPr>
              <w:t>分）：</w:t>
            </w:r>
          </w:p>
          <w:p w14:paraId="7EFE9E40">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jc w:val="left"/>
              <w:rPr>
                <w:rFonts w:hint="eastAsia" w:ascii="仿宋" w:hAnsi="仿宋" w:eastAsia="仿宋" w:cs="仿宋"/>
                <w:b w:val="0"/>
                <w:bCs w:val="0"/>
                <w:color w:val="auto"/>
                <w:spacing w:val="0"/>
                <w:kern w:val="2"/>
                <w:sz w:val="30"/>
                <w:szCs w:val="30"/>
                <w:lang w:val="en-US" w:eastAsia="zh-CN" w:bidi="ar-SA"/>
              </w:rPr>
            </w:pPr>
            <w:r>
              <w:rPr>
                <w:rFonts w:hint="eastAsia" w:ascii="仿宋" w:hAnsi="仿宋" w:eastAsia="仿宋" w:cs="仿宋"/>
                <w:b w:val="0"/>
                <w:bCs w:val="0"/>
                <w:color w:val="auto"/>
                <w:spacing w:val="0"/>
                <w:kern w:val="2"/>
                <w:sz w:val="30"/>
                <w:szCs w:val="30"/>
                <w:lang w:val="en-US" w:eastAsia="zh-CN" w:bidi="ar-SA"/>
              </w:rPr>
              <w:t>科学、可行、针对性强4＜m≤6；</w:t>
            </w:r>
          </w:p>
          <w:p w14:paraId="01D0F0B5">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jc w:val="left"/>
              <w:rPr>
                <w:rFonts w:hint="eastAsia" w:ascii="仿宋" w:hAnsi="仿宋" w:eastAsia="仿宋" w:cs="仿宋"/>
                <w:b w:val="0"/>
                <w:bCs w:val="0"/>
                <w:color w:val="auto"/>
                <w:spacing w:val="0"/>
                <w:kern w:val="2"/>
                <w:sz w:val="30"/>
                <w:szCs w:val="30"/>
                <w:lang w:val="en-US" w:eastAsia="zh-CN" w:bidi="ar-SA"/>
              </w:rPr>
            </w:pPr>
            <w:r>
              <w:rPr>
                <w:rFonts w:hint="eastAsia" w:ascii="仿宋" w:hAnsi="仿宋" w:eastAsia="仿宋" w:cs="仿宋"/>
                <w:b w:val="0"/>
                <w:bCs w:val="0"/>
                <w:color w:val="auto"/>
                <w:spacing w:val="0"/>
                <w:kern w:val="2"/>
                <w:sz w:val="30"/>
                <w:szCs w:val="30"/>
                <w:lang w:val="en-US" w:eastAsia="zh-CN" w:bidi="ar-SA"/>
              </w:rPr>
              <w:t>合理、可行、细节待完善2＜m≤4；</w:t>
            </w:r>
          </w:p>
          <w:p w14:paraId="60EACE2B">
            <w:pPr>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0" w:firstLineChars="0"/>
              <w:jc w:val="left"/>
              <w:rPr>
                <w:rFonts w:hint="eastAsia"/>
              </w:rPr>
            </w:pPr>
            <w:r>
              <w:rPr>
                <w:rFonts w:hint="eastAsia" w:ascii="仿宋" w:hAnsi="仿宋" w:eastAsia="仿宋" w:cs="仿宋"/>
                <w:b w:val="0"/>
                <w:bCs w:val="0"/>
                <w:color w:val="auto"/>
                <w:spacing w:val="0"/>
                <w:kern w:val="2"/>
                <w:sz w:val="30"/>
                <w:szCs w:val="30"/>
                <w:lang w:val="en-US" w:eastAsia="zh-CN" w:bidi="ar-SA"/>
              </w:rPr>
              <w:t>欠合理，可行性较差，基本满足项目需要0≤m≤2。</w:t>
            </w:r>
          </w:p>
        </w:tc>
        <w:tc>
          <w:tcPr>
            <w:tcW w:w="1345" w:type="dxa"/>
            <w:noWrap w:val="0"/>
            <w:vAlign w:val="center"/>
          </w:tcPr>
          <w:p w14:paraId="6C9181FE">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sz w:val="30"/>
                <w:szCs w:val="30"/>
                <w:highlight w:val="none"/>
                <w:vertAlign w:val="baseline"/>
              </w:rPr>
            </w:pPr>
          </w:p>
        </w:tc>
      </w:tr>
      <w:tr w14:paraId="3B4D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362" w:type="dxa"/>
            <w:vMerge w:val="continue"/>
            <w:noWrap w:val="0"/>
            <w:vAlign w:val="center"/>
          </w:tcPr>
          <w:p w14:paraId="399C4C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32"/>
                <w:szCs w:val="32"/>
                <w:highlight w:val="none"/>
              </w:rPr>
            </w:pPr>
          </w:p>
        </w:tc>
        <w:tc>
          <w:tcPr>
            <w:tcW w:w="876" w:type="dxa"/>
            <w:vMerge w:val="continue"/>
            <w:noWrap w:val="0"/>
            <w:vAlign w:val="center"/>
          </w:tcPr>
          <w:p w14:paraId="0027DE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30"/>
                <w:szCs w:val="30"/>
                <w:highlight w:val="none"/>
                <w:u w:val="none"/>
                <w:lang w:val="en-US" w:eastAsia="zh-CN" w:bidi="ar"/>
              </w:rPr>
            </w:pPr>
          </w:p>
        </w:tc>
        <w:tc>
          <w:tcPr>
            <w:tcW w:w="5663" w:type="dxa"/>
            <w:noWrap w:val="0"/>
            <w:vAlign w:val="top"/>
          </w:tcPr>
          <w:p w14:paraId="04DBCB65">
            <w:pPr>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0" w:firstLineChars="0"/>
              <w:jc w:val="left"/>
              <w:rPr>
                <w:rFonts w:hint="eastAsia" w:ascii="仿宋" w:hAnsi="仿宋" w:eastAsia="仿宋" w:cs="仿宋"/>
                <w:b w:val="0"/>
                <w:bCs w:val="0"/>
                <w:color w:val="auto"/>
                <w:spacing w:val="0"/>
                <w:kern w:val="2"/>
                <w:sz w:val="30"/>
                <w:szCs w:val="30"/>
                <w:highlight w:val="none"/>
                <w:lang w:val="en-US" w:eastAsia="zh-CN"/>
              </w:rPr>
            </w:pPr>
            <w:r>
              <w:rPr>
                <w:rFonts w:hint="eastAsia" w:ascii="仿宋" w:hAnsi="仿宋" w:eastAsia="仿宋" w:cs="仿宋"/>
                <w:b w:val="0"/>
                <w:bCs w:val="0"/>
                <w:color w:val="auto"/>
                <w:spacing w:val="0"/>
                <w:kern w:val="2"/>
                <w:sz w:val="30"/>
                <w:szCs w:val="30"/>
                <w:highlight w:val="none"/>
                <w:lang w:val="en-US" w:eastAsia="zh-CN"/>
              </w:rPr>
              <w:t>对接招标联系人，取得现场踏勘资料：</w:t>
            </w:r>
          </w:p>
          <w:p w14:paraId="13D57FF2">
            <w:pPr>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0" w:firstLineChars="0"/>
              <w:jc w:val="left"/>
              <w:rPr>
                <w:rFonts w:hint="eastAsia" w:ascii="仿宋" w:hAnsi="仿宋" w:eastAsia="仿宋" w:cs="仿宋"/>
                <w:b w:val="0"/>
                <w:bCs w:val="0"/>
                <w:color w:val="auto"/>
                <w:spacing w:val="0"/>
                <w:kern w:val="2"/>
                <w:sz w:val="30"/>
                <w:szCs w:val="30"/>
                <w:highlight w:val="none"/>
                <w:lang w:val="en-US" w:eastAsia="zh-CN"/>
              </w:rPr>
            </w:pPr>
            <w:r>
              <w:rPr>
                <w:rFonts w:hint="eastAsia" w:ascii="仿宋" w:hAnsi="仿宋" w:eastAsia="仿宋" w:cs="仿宋"/>
                <w:b w:val="0"/>
                <w:bCs w:val="0"/>
                <w:color w:val="auto"/>
                <w:spacing w:val="0"/>
                <w:kern w:val="2"/>
                <w:sz w:val="30"/>
                <w:szCs w:val="30"/>
                <w:highlight w:val="none"/>
                <w:lang w:val="en-US" w:eastAsia="zh-CN"/>
              </w:rPr>
              <w:t>现场实地踏勘得6分；</w:t>
            </w:r>
          </w:p>
          <w:p w14:paraId="745FA027">
            <w:pPr>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0" w:firstLineChars="0"/>
              <w:jc w:val="left"/>
              <w:rPr>
                <w:rFonts w:hint="default" w:ascii="仿宋" w:hAnsi="仿宋" w:eastAsia="仿宋" w:cs="仿宋"/>
                <w:b w:val="0"/>
                <w:bCs w:val="0"/>
                <w:color w:val="auto"/>
                <w:spacing w:val="0"/>
                <w:kern w:val="2"/>
                <w:sz w:val="30"/>
                <w:szCs w:val="30"/>
                <w:highlight w:val="none"/>
                <w:lang w:val="en-US" w:eastAsia="zh-CN"/>
              </w:rPr>
            </w:pPr>
            <w:r>
              <w:rPr>
                <w:rFonts w:hint="eastAsia" w:ascii="仿宋" w:hAnsi="仿宋" w:eastAsia="仿宋" w:cs="仿宋"/>
                <w:b w:val="0"/>
                <w:bCs w:val="0"/>
                <w:color w:val="auto"/>
                <w:spacing w:val="0"/>
                <w:kern w:val="2"/>
                <w:sz w:val="30"/>
                <w:szCs w:val="30"/>
                <w:highlight w:val="none"/>
                <w:lang w:val="en-US" w:eastAsia="zh-CN"/>
              </w:rPr>
              <w:t>未现场实地踏勘不得分。</w:t>
            </w:r>
          </w:p>
        </w:tc>
        <w:tc>
          <w:tcPr>
            <w:tcW w:w="1345" w:type="dxa"/>
            <w:noWrap w:val="0"/>
            <w:vAlign w:val="center"/>
          </w:tcPr>
          <w:p w14:paraId="471E0CD8">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sz w:val="30"/>
                <w:szCs w:val="30"/>
                <w:highlight w:val="none"/>
                <w:vertAlign w:val="baseline"/>
              </w:rPr>
            </w:pPr>
          </w:p>
        </w:tc>
      </w:tr>
      <w:tr w14:paraId="1D4D2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362" w:type="dxa"/>
            <w:noWrap w:val="0"/>
            <w:vAlign w:val="center"/>
          </w:tcPr>
          <w:p w14:paraId="595857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2"/>
                <w:sz w:val="30"/>
                <w:szCs w:val="30"/>
                <w:highlight w:val="none"/>
                <w:u w:val="none"/>
                <w:lang w:val="en-US" w:eastAsia="zh-CN" w:bidi="ar-SA"/>
              </w:rPr>
            </w:pPr>
            <w:r>
              <w:rPr>
                <w:rFonts w:hint="eastAsia" w:ascii="仿宋_GB2312" w:hAnsi="仿宋_GB2312" w:eastAsia="仿宋_GB2312" w:cs="仿宋_GB2312"/>
                <w:sz w:val="32"/>
                <w:szCs w:val="32"/>
                <w:highlight w:val="none"/>
                <w:lang w:eastAsia="zh-CN"/>
              </w:rPr>
              <w:t>综合</w:t>
            </w:r>
            <w:r>
              <w:rPr>
                <w:rFonts w:hint="eastAsia" w:ascii="仿宋_GB2312" w:hAnsi="仿宋_GB2312" w:eastAsia="仿宋_GB2312" w:cs="仿宋_GB2312"/>
                <w:sz w:val="32"/>
                <w:szCs w:val="32"/>
                <w:highlight w:val="none"/>
                <w:lang w:val="en-US" w:eastAsia="zh-CN"/>
              </w:rPr>
              <w:t>部分</w:t>
            </w:r>
          </w:p>
        </w:tc>
        <w:tc>
          <w:tcPr>
            <w:tcW w:w="876" w:type="dxa"/>
            <w:noWrap w:val="0"/>
            <w:vAlign w:val="center"/>
          </w:tcPr>
          <w:p w14:paraId="70DCC6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2"/>
                <w:sz w:val="30"/>
                <w:szCs w:val="30"/>
                <w:highlight w:val="none"/>
                <w:u w:val="none"/>
                <w:lang w:val="en-US" w:eastAsia="zh-CN" w:bidi="ar-SA"/>
              </w:rPr>
            </w:pPr>
            <w:r>
              <w:rPr>
                <w:rFonts w:hint="eastAsia" w:ascii="仿宋" w:hAnsi="仿宋" w:eastAsia="仿宋" w:cs="仿宋"/>
                <w:i w:val="0"/>
                <w:iCs w:val="0"/>
                <w:color w:val="000000"/>
                <w:kern w:val="0"/>
                <w:sz w:val="30"/>
                <w:szCs w:val="30"/>
                <w:highlight w:val="none"/>
                <w:u w:val="none"/>
                <w:lang w:val="en-US" w:eastAsia="zh-CN" w:bidi="ar"/>
              </w:rPr>
              <w:t>10分</w:t>
            </w:r>
          </w:p>
        </w:tc>
        <w:tc>
          <w:tcPr>
            <w:tcW w:w="5663" w:type="dxa"/>
            <w:noWrap w:val="0"/>
            <w:vAlign w:val="top"/>
          </w:tcPr>
          <w:p w14:paraId="2043649A">
            <w:pPr>
              <w:keepNext w:val="0"/>
              <w:keepLines w:val="0"/>
              <w:pageBreakBefore w:val="0"/>
              <w:widowControl/>
              <w:kinsoku/>
              <w:wordWrap/>
              <w:overflowPunct/>
              <w:topLinePunct w:val="0"/>
              <w:autoSpaceDE/>
              <w:autoSpaceDN/>
              <w:bidi w:val="0"/>
              <w:adjustRightInd/>
              <w:snapToGrid/>
              <w:spacing w:line="400" w:lineRule="exact"/>
              <w:ind w:left="0" w:leftChars="0"/>
              <w:jc w:val="left"/>
              <w:rPr>
                <w:rFonts w:hint="eastAsia" w:ascii="仿宋" w:hAnsi="仿宋" w:eastAsia="仿宋" w:cs="仿宋"/>
                <w:sz w:val="30"/>
                <w:szCs w:val="30"/>
                <w:highlight w:val="none"/>
                <w:vertAlign w:val="baseline"/>
              </w:rPr>
            </w:pPr>
            <w:r>
              <w:rPr>
                <w:rFonts w:hint="eastAsia" w:ascii="仿宋" w:hAnsi="仿宋" w:eastAsia="仿宋" w:cs="仿宋"/>
                <w:sz w:val="30"/>
                <w:szCs w:val="30"/>
                <w:highlight w:val="none"/>
                <w:vertAlign w:val="baseline"/>
              </w:rPr>
              <w:t>业绩（</w:t>
            </w:r>
            <w:r>
              <w:rPr>
                <w:rFonts w:hint="eastAsia" w:ascii="仿宋" w:hAnsi="仿宋" w:eastAsia="仿宋" w:cs="仿宋"/>
                <w:sz w:val="30"/>
                <w:szCs w:val="30"/>
                <w:highlight w:val="none"/>
                <w:vertAlign w:val="baseline"/>
                <w:lang w:val="en-US" w:eastAsia="zh-CN"/>
              </w:rPr>
              <w:t>10</w:t>
            </w:r>
            <w:r>
              <w:rPr>
                <w:rFonts w:hint="eastAsia" w:ascii="仿宋" w:hAnsi="仿宋" w:eastAsia="仿宋" w:cs="仿宋"/>
                <w:sz w:val="30"/>
                <w:szCs w:val="30"/>
                <w:highlight w:val="none"/>
                <w:vertAlign w:val="baseline"/>
              </w:rPr>
              <w:t>分）</w:t>
            </w:r>
          </w:p>
          <w:p w14:paraId="089DB7F5">
            <w:pPr>
              <w:keepNext w:val="0"/>
              <w:keepLines w:val="0"/>
              <w:pageBreakBefore w:val="0"/>
              <w:widowControl/>
              <w:kinsoku/>
              <w:wordWrap/>
              <w:overflowPunct/>
              <w:topLinePunct w:val="0"/>
              <w:autoSpaceDE/>
              <w:autoSpaceDN/>
              <w:bidi w:val="0"/>
              <w:adjustRightInd/>
              <w:snapToGrid/>
              <w:spacing w:line="400" w:lineRule="exact"/>
              <w:ind w:left="0" w:leftChars="0"/>
              <w:jc w:val="left"/>
              <w:rPr>
                <w:rFonts w:hint="eastAsia" w:ascii="仿宋" w:hAnsi="仿宋" w:eastAsia="仿宋" w:cs="仿宋"/>
                <w:sz w:val="30"/>
                <w:szCs w:val="30"/>
                <w:highlight w:val="none"/>
                <w:vertAlign w:val="baseline"/>
                <w:lang w:val="en-US" w:eastAsia="zh-CN"/>
              </w:rPr>
            </w:pPr>
            <w:r>
              <w:rPr>
                <w:rFonts w:hint="eastAsia" w:ascii="仿宋" w:hAnsi="仿宋" w:eastAsia="仿宋" w:cs="仿宋"/>
                <w:sz w:val="30"/>
                <w:szCs w:val="30"/>
                <w:highlight w:val="none"/>
                <w:vertAlign w:val="baseline"/>
                <w:lang w:val="en-US" w:eastAsia="zh-CN"/>
              </w:rPr>
              <w:t>自2023年1月1日以来（以合同签订时间为准），供应商每提供1个同类有效业绩：</w:t>
            </w:r>
          </w:p>
          <w:p w14:paraId="7C85FC61">
            <w:pPr>
              <w:keepNext w:val="0"/>
              <w:keepLines w:val="0"/>
              <w:pageBreakBefore w:val="0"/>
              <w:widowControl/>
              <w:kinsoku/>
              <w:wordWrap/>
              <w:overflowPunct/>
              <w:topLinePunct w:val="0"/>
              <w:autoSpaceDE/>
              <w:autoSpaceDN/>
              <w:bidi w:val="0"/>
              <w:adjustRightInd/>
              <w:snapToGrid/>
              <w:spacing w:line="400" w:lineRule="exact"/>
              <w:ind w:left="0" w:leftChars="0"/>
              <w:jc w:val="left"/>
              <w:rPr>
                <w:rFonts w:hint="eastAsia" w:ascii="仿宋" w:hAnsi="仿宋" w:eastAsia="仿宋" w:cs="仿宋"/>
                <w:sz w:val="30"/>
                <w:szCs w:val="30"/>
                <w:highlight w:val="none"/>
                <w:vertAlign w:val="baseline"/>
                <w:lang w:val="en-US" w:eastAsia="zh-CN"/>
              </w:rPr>
            </w:pPr>
            <w:r>
              <w:rPr>
                <w:rFonts w:hint="eastAsia" w:ascii="仿宋" w:hAnsi="仿宋" w:eastAsia="仿宋" w:cs="仿宋"/>
                <w:sz w:val="30"/>
                <w:szCs w:val="30"/>
                <w:highlight w:val="none"/>
                <w:vertAlign w:val="baseline"/>
                <w:lang w:val="en-US" w:eastAsia="zh-CN"/>
              </w:rPr>
              <w:t>每个得2分，最多提供5个，最高得10分（超出部分及无效业绩不计分）；</w:t>
            </w:r>
          </w:p>
          <w:p w14:paraId="7E969CC6">
            <w:pPr>
              <w:keepNext w:val="0"/>
              <w:keepLines w:val="0"/>
              <w:pageBreakBefore w:val="0"/>
              <w:widowControl/>
              <w:kinsoku/>
              <w:wordWrap/>
              <w:overflowPunct/>
              <w:topLinePunct w:val="0"/>
              <w:autoSpaceDE/>
              <w:autoSpaceDN/>
              <w:bidi w:val="0"/>
              <w:adjustRightInd/>
              <w:snapToGrid/>
              <w:spacing w:line="400" w:lineRule="exact"/>
              <w:ind w:left="0" w:leftChars="0"/>
              <w:jc w:val="left"/>
              <w:rPr>
                <w:rFonts w:hint="eastAsia" w:ascii="仿宋" w:hAnsi="仿宋" w:eastAsia="仿宋" w:cs="仿宋"/>
                <w:sz w:val="30"/>
                <w:szCs w:val="30"/>
                <w:highlight w:val="none"/>
                <w:vertAlign w:val="baseline"/>
              </w:rPr>
            </w:pPr>
            <w:r>
              <w:rPr>
                <w:rFonts w:hint="eastAsia" w:ascii="仿宋" w:hAnsi="仿宋" w:eastAsia="仿宋" w:cs="仿宋"/>
                <w:b w:val="0"/>
                <w:bCs w:val="0"/>
                <w:color w:val="auto"/>
                <w:spacing w:val="0"/>
                <w:kern w:val="2"/>
                <w:sz w:val="30"/>
                <w:szCs w:val="30"/>
                <w:highlight w:val="none"/>
                <w:lang w:val="en-US" w:eastAsia="zh-CN"/>
              </w:rPr>
              <w:t>评标时同时提供下述证明材料：</w:t>
            </w:r>
            <w:r>
              <w:rPr>
                <w:rFonts w:hint="eastAsia" w:ascii="仿宋" w:hAnsi="仿宋" w:eastAsia="仿宋" w:cs="仿宋"/>
                <w:b w:val="0"/>
                <w:bCs w:val="0"/>
                <w:color w:val="auto"/>
                <w:spacing w:val="0"/>
                <w:sz w:val="30"/>
                <w:szCs w:val="30"/>
                <w:highlight w:val="none"/>
              </w:rPr>
              <w:t>加盖甲乙双方公章</w:t>
            </w:r>
            <w:r>
              <w:rPr>
                <w:rFonts w:hint="eastAsia" w:ascii="仿宋" w:hAnsi="仿宋" w:eastAsia="仿宋" w:cs="仿宋"/>
                <w:b w:val="0"/>
                <w:bCs w:val="0"/>
                <w:color w:val="auto"/>
                <w:spacing w:val="0"/>
                <w:sz w:val="30"/>
                <w:szCs w:val="30"/>
                <w:highlight w:val="none"/>
                <w:lang w:val="en-US" w:eastAsia="zh-CN"/>
              </w:rPr>
              <w:t>或合同章</w:t>
            </w:r>
            <w:r>
              <w:rPr>
                <w:rFonts w:hint="eastAsia" w:ascii="仿宋" w:hAnsi="仿宋" w:eastAsia="仿宋" w:cs="仿宋"/>
                <w:b w:val="0"/>
                <w:bCs w:val="0"/>
                <w:color w:val="auto"/>
                <w:spacing w:val="0"/>
                <w:sz w:val="30"/>
                <w:szCs w:val="30"/>
                <w:highlight w:val="none"/>
              </w:rPr>
              <w:t>的业绩合同</w:t>
            </w:r>
            <w:r>
              <w:rPr>
                <w:rFonts w:hint="eastAsia" w:ascii="仿宋" w:hAnsi="仿宋" w:eastAsia="仿宋" w:cs="仿宋"/>
                <w:b w:val="0"/>
                <w:bCs w:val="0"/>
                <w:color w:val="auto"/>
                <w:spacing w:val="0"/>
                <w:sz w:val="30"/>
                <w:szCs w:val="30"/>
                <w:highlight w:val="none"/>
                <w:lang w:eastAsia="zh-CN"/>
              </w:rPr>
              <w:t>（</w:t>
            </w:r>
            <w:r>
              <w:rPr>
                <w:rFonts w:hint="eastAsia" w:ascii="仿宋" w:hAnsi="仿宋" w:eastAsia="仿宋" w:cs="仿宋"/>
                <w:b w:val="0"/>
                <w:bCs w:val="0"/>
                <w:color w:val="auto"/>
                <w:spacing w:val="0"/>
                <w:sz w:val="30"/>
                <w:szCs w:val="30"/>
                <w:highlight w:val="none"/>
                <w:lang w:val="en-US" w:eastAsia="zh-CN"/>
              </w:rPr>
              <w:t>需显示</w:t>
            </w:r>
            <w:r>
              <w:rPr>
                <w:rFonts w:hint="eastAsia" w:ascii="仿宋" w:hAnsi="仿宋" w:eastAsia="仿宋" w:cs="仿宋"/>
                <w:b w:val="0"/>
                <w:bCs w:val="0"/>
                <w:color w:val="auto"/>
                <w:spacing w:val="0"/>
                <w:sz w:val="30"/>
                <w:szCs w:val="30"/>
                <w:highlight w:val="none"/>
              </w:rPr>
              <w:t>：合同首页、标的页、双方盖章页</w:t>
            </w:r>
            <w:r>
              <w:rPr>
                <w:rFonts w:hint="eastAsia" w:ascii="仿宋" w:hAnsi="仿宋" w:eastAsia="仿宋" w:cs="仿宋"/>
                <w:b w:val="0"/>
                <w:bCs w:val="0"/>
                <w:color w:val="auto"/>
                <w:spacing w:val="0"/>
                <w:sz w:val="30"/>
                <w:szCs w:val="30"/>
                <w:highlight w:val="none"/>
                <w:lang w:eastAsia="zh-CN"/>
              </w:rPr>
              <w:t>、</w:t>
            </w:r>
            <w:r>
              <w:rPr>
                <w:rFonts w:hint="eastAsia" w:ascii="仿宋" w:hAnsi="仿宋" w:eastAsia="仿宋" w:cs="仿宋"/>
                <w:b w:val="0"/>
                <w:bCs w:val="0"/>
                <w:color w:val="auto"/>
                <w:spacing w:val="0"/>
                <w:sz w:val="30"/>
                <w:szCs w:val="30"/>
                <w:highlight w:val="none"/>
                <w:lang w:val="en-US" w:eastAsia="zh-CN"/>
              </w:rPr>
              <w:t>签订时间</w:t>
            </w:r>
            <w:r>
              <w:rPr>
                <w:rFonts w:hint="eastAsia" w:ascii="仿宋" w:hAnsi="仿宋" w:eastAsia="仿宋" w:cs="仿宋"/>
                <w:b w:val="0"/>
                <w:bCs w:val="0"/>
                <w:color w:val="auto"/>
                <w:spacing w:val="0"/>
                <w:sz w:val="30"/>
                <w:szCs w:val="30"/>
                <w:highlight w:val="none"/>
              </w:rPr>
              <w:t>、服务内容页等</w:t>
            </w:r>
            <w:r>
              <w:rPr>
                <w:rFonts w:hint="eastAsia" w:ascii="仿宋" w:hAnsi="仿宋" w:eastAsia="仿宋" w:cs="仿宋"/>
                <w:b w:val="0"/>
                <w:bCs w:val="0"/>
                <w:color w:val="auto"/>
                <w:spacing w:val="0"/>
                <w:sz w:val="30"/>
                <w:szCs w:val="30"/>
                <w:highlight w:val="none"/>
                <w:lang w:val="en-US" w:eastAsia="zh-CN"/>
              </w:rPr>
              <w:t>合同</w:t>
            </w:r>
            <w:r>
              <w:rPr>
                <w:rFonts w:hint="eastAsia" w:ascii="仿宋" w:hAnsi="仿宋" w:eastAsia="仿宋" w:cs="仿宋"/>
                <w:b w:val="0"/>
                <w:bCs w:val="0"/>
                <w:color w:val="auto"/>
                <w:spacing w:val="0"/>
                <w:sz w:val="30"/>
                <w:szCs w:val="30"/>
                <w:highlight w:val="none"/>
              </w:rPr>
              <w:t>扫描件</w:t>
            </w:r>
            <w:r>
              <w:rPr>
                <w:rFonts w:hint="eastAsia" w:ascii="仿宋" w:hAnsi="仿宋" w:eastAsia="仿宋" w:cs="仿宋"/>
                <w:b w:val="0"/>
                <w:bCs w:val="0"/>
                <w:color w:val="auto"/>
                <w:spacing w:val="0"/>
                <w:sz w:val="30"/>
                <w:szCs w:val="30"/>
                <w:highlight w:val="none"/>
                <w:lang w:val="en-US" w:eastAsia="zh-CN"/>
              </w:rPr>
              <w:t>并加盖公章</w:t>
            </w:r>
            <w:r>
              <w:rPr>
                <w:rFonts w:hint="eastAsia" w:ascii="仿宋" w:hAnsi="仿宋" w:eastAsia="仿宋" w:cs="仿宋"/>
                <w:b w:val="0"/>
                <w:bCs w:val="0"/>
                <w:color w:val="auto"/>
                <w:spacing w:val="0"/>
                <w:sz w:val="30"/>
                <w:szCs w:val="30"/>
                <w:highlight w:val="none"/>
                <w:lang w:eastAsia="zh-CN"/>
              </w:rPr>
              <w:t>），</w:t>
            </w:r>
            <w:r>
              <w:rPr>
                <w:rFonts w:hint="eastAsia" w:ascii="仿宋_GB2312" w:hAnsi="仿宋_GB2312" w:eastAsia="仿宋_GB2312" w:cs="仿宋_GB2312"/>
                <w:sz w:val="32"/>
                <w:szCs w:val="32"/>
                <w:lang w:val="en-US" w:eastAsia="zh-CN"/>
              </w:rPr>
              <w:t>并提供至少10%合同金额的发票复印件</w:t>
            </w:r>
            <w:r>
              <w:rPr>
                <w:rFonts w:hint="eastAsia" w:ascii="仿宋" w:hAnsi="仿宋" w:eastAsia="仿宋" w:cs="仿宋"/>
                <w:b w:val="0"/>
                <w:bCs w:val="0"/>
                <w:color w:val="auto"/>
                <w:spacing w:val="0"/>
                <w:sz w:val="30"/>
                <w:szCs w:val="30"/>
                <w:highlight w:val="none"/>
              </w:rPr>
              <w:t>；</w:t>
            </w:r>
          </w:p>
        </w:tc>
        <w:tc>
          <w:tcPr>
            <w:tcW w:w="1345" w:type="dxa"/>
            <w:noWrap w:val="0"/>
            <w:vAlign w:val="center"/>
          </w:tcPr>
          <w:p w14:paraId="71920872">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sz w:val="30"/>
                <w:szCs w:val="30"/>
                <w:highlight w:val="none"/>
                <w:vertAlign w:val="baseline"/>
              </w:rPr>
            </w:pPr>
            <w:r>
              <w:rPr>
                <w:rFonts w:hint="eastAsia" w:ascii="仿宋" w:hAnsi="仿宋" w:eastAsia="仿宋" w:cs="仿宋"/>
                <w:sz w:val="30"/>
                <w:szCs w:val="30"/>
                <w:highlight w:val="none"/>
                <w:vertAlign w:val="baseline"/>
              </w:rPr>
              <w:t>合同复印件（加盖公章）</w:t>
            </w:r>
          </w:p>
        </w:tc>
      </w:tr>
    </w:tbl>
    <w:p w14:paraId="4FEAE317">
      <w:pPr>
        <w:keepNext w:val="0"/>
        <w:keepLines w:val="0"/>
        <w:pageBreakBefore w:val="0"/>
        <w:widowControl/>
        <w:suppressLineNumbers w:val="0"/>
        <w:kinsoku/>
        <w:wordWrap/>
        <w:autoSpaceDE/>
        <w:autoSpaceDN/>
        <w:bidi w:val="0"/>
        <w:spacing w:line="560" w:lineRule="exact"/>
        <w:jc w:val="both"/>
        <w:textAlignment w:val="auto"/>
        <w:rPr>
          <w:rFonts w:hint="eastAsia" w:ascii="宋体" w:hAnsi="宋体" w:eastAsia="宋体" w:cs="宋体"/>
          <w:kern w:val="0"/>
          <w:sz w:val="24"/>
          <w:szCs w:val="24"/>
          <w:lang w:val="en-US" w:eastAsia="zh-CN" w:bidi="ar"/>
        </w:rPr>
      </w:pPr>
    </w:p>
    <w:sectPr>
      <w:headerReference r:id="rId3" w:type="default"/>
      <w:footerReference r:id="rId4"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395C822-4AEF-4CD0-8435-8823AC20E56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00000001" w:usb1="080E0000" w:usb2="00000000" w:usb3="00000000" w:csb0="00040000" w:csb1="00000000"/>
    <w:embedRegular r:id="rId2" w:fontKey="{609035E7-E09C-4109-8443-3C518E8C8A5C}"/>
  </w:font>
  <w:font w:name="仿宋_GB2312">
    <w:panose1 w:val="02010609030101010101"/>
    <w:charset w:val="86"/>
    <w:family w:val="modern"/>
    <w:pitch w:val="default"/>
    <w:sig w:usb0="00000001" w:usb1="080E0000" w:usb2="00000000" w:usb3="00000000" w:csb0="00040000" w:csb1="00000000"/>
    <w:embedRegular r:id="rId3" w:fontKey="{10787873-DDAE-43BA-BFFD-DA0442F81F23}"/>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embedRegular r:id="rId4" w:fontKey="{3D408AA4-94D4-4E13-8353-89C3C719159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DFE11">
    <w:pPr>
      <w:spacing w:after="0" w:line="240" w:lineRule="auto"/>
      <w:ind w:firstLine="8370" w:firstLineChars="2700"/>
      <w:rPr>
        <w:rFonts w:ascii="宋体" w:hAnsi="宋体" w:eastAsia="宋体" w:cs="宋体"/>
        <w:sz w:val="31"/>
        <w:szCs w:val="3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3F555">
    <w:pPr>
      <w:pStyle w:val="10"/>
      <w:pBdr>
        <w:bottom w:val="none" w:color="auto" w:sz="0" w:space="1"/>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OGZjOTdjYzE5MjAwMTJlNDM1OGRmMmZhMmQzNzYifQ=="/>
  </w:docVars>
  <w:rsids>
    <w:rsidRoot w:val="72653342"/>
    <w:rsid w:val="05CD0070"/>
    <w:rsid w:val="06F21F49"/>
    <w:rsid w:val="167D6873"/>
    <w:rsid w:val="17940418"/>
    <w:rsid w:val="23B92A88"/>
    <w:rsid w:val="2886300C"/>
    <w:rsid w:val="29D85FBA"/>
    <w:rsid w:val="2A246A24"/>
    <w:rsid w:val="2A947498"/>
    <w:rsid w:val="2B302976"/>
    <w:rsid w:val="353A3EBA"/>
    <w:rsid w:val="364426D3"/>
    <w:rsid w:val="3717075C"/>
    <w:rsid w:val="3ACC604C"/>
    <w:rsid w:val="4AC36BE1"/>
    <w:rsid w:val="4BAC0EED"/>
    <w:rsid w:val="4F7832B0"/>
    <w:rsid w:val="57504BF9"/>
    <w:rsid w:val="57832B1C"/>
    <w:rsid w:val="5C9345CD"/>
    <w:rsid w:val="670F6AFA"/>
    <w:rsid w:val="674A7144"/>
    <w:rsid w:val="72653342"/>
    <w:rsid w:val="764278E2"/>
    <w:rsid w:val="78A05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next w:val="1"/>
    <w:qFormat/>
    <w:uiPriority w:val="0"/>
    <w:pPr>
      <w:spacing w:line="560" w:lineRule="exact"/>
      <w:ind w:firstLine="630" w:firstLineChars="200"/>
      <w:jc w:val="both"/>
    </w:pPr>
    <w:rPr>
      <w:rFonts w:ascii="Times New Roman" w:hAnsi="Times New Roman" w:eastAsia="方正仿宋_GB2312" w:cs="方正仿宋_GB2312"/>
      <w:spacing w:val="-6"/>
      <w:sz w:val="32"/>
      <w:szCs w:val="32"/>
    </w:rPr>
  </w:style>
  <w:style w:type="paragraph" w:styleId="8">
    <w:name w:val="Body Text Indent"/>
    <w:basedOn w:val="1"/>
    <w:next w:val="1"/>
    <w:qFormat/>
    <w:uiPriority w:val="0"/>
    <w:pPr>
      <w:spacing w:after="120"/>
      <w:ind w:left="420" w:leftChars="200"/>
    </w:pPr>
  </w:style>
  <w:style w:type="paragraph" w:styleId="9">
    <w:name w:val="footer"/>
    <w:basedOn w:val="1"/>
    <w:qFormat/>
    <w:uiPriority w:val="99"/>
    <w:pPr>
      <w:tabs>
        <w:tab w:val="center" w:pos="4153"/>
        <w:tab w:val="right" w:pos="8306"/>
      </w:tabs>
      <w:snapToGrid w:val="0"/>
      <w:jc w:val="left"/>
    </w:pPr>
    <w:rPr>
      <w:kern w:val="0"/>
      <w:sz w:val="18"/>
      <w:szCs w:val="18"/>
      <w:lang w:val="zh-CN"/>
    </w:rPr>
  </w:style>
  <w:style w:type="paragraph" w:styleId="10">
    <w:name w:val="header"/>
    <w:basedOn w:val="1"/>
    <w:qFormat/>
    <w:uiPriority w:val="99"/>
    <w:pPr>
      <w:pBdr>
        <w:bottom w:val="single" w:color="auto" w:sz="6" w:space="1"/>
      </w:pBdr>
      <w:tabs>
        <w:tab w:val="center" w:pos="4153"/>
        <w:tab w:val="right" w:pos="8306"/>
      </w:tabs>
      <w:snapToGrid w:val="0"/>
      <w:jc w:val="center"/>
    </w:pPr>
    <w:rPr>
      <w:kern w:val="0"/>
      <w:sz w:val="18"/>
      <w:szCs w:val="18"/>
      <w:lang w:val="zh-CN"/>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Body Text First Indent"/>
    <w:basedOn w:val="7"/>
    <w:next w:val="13"/>
    <w:qFormat/>
    <w:uiPriority w:val="0"/>
    <w:pPr>
      <w:adjustRightInd/>
      <w:spacing w:after="120"/>
      <w:ind w:firstLine="420"/>
      <w:jc w:val="both"/>
      <w:textAlignment w:val="auto"/>
    </w:pPr>
    <w:rPr>
      <w:rFonts w:ascii="Times New Roman"/>
      <w:kern w:val="2"/>
      <w:sz w:val="32"/>
    </w:rPr>
  </w:style>
  <w:style w:type="paragraph" w:styleId="13">
    <w:name w:val="Body Text First Indent 2"/>
    <w:basedOn w:val="8"/>
    <w:next w:val="1"/>
    <w:qFormat/>
    <w:uiPriority w:val="0"/>
    <w:pPr>
      <w:spacing w:before="100" w:beforeAutospacing="1" w:after="100" w:afterAutospacing="1"/>
      <w:ind w:firstLine="420" w:firstLineChars="200"/>
    </w:pPr>
    <w:rPr>
      <w:szCs w:val="21"/>
    </w:rPr>
  </w:style>
  <w:style w:type="table" w:styleId="15">
    <w:name w:val="Table Grid"/>
    <w:basedOn w:val="1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paragraph" w:customStyle="1" w:styleId="18">
    <w:name w:val="附录标题"/>
    <w:next w:val="1"/>
    <w:qFormat/>
    <w:uiPriority w:val="0"/>
    <w:pPr>
      <w:overflowPunct w:val="0"/>
      <w:topLinePunct/>
      <w:spacing w:line="560" w:lineRule="exact"/>
      <w:jc w:val="left"/>
      <w:outlineLvl w:val="0"/>
    </w:pPr>
    <w:rPr>
      <w:rFonts w:ascii="黑体" w:hAnsi="黑体" w:eastAsia="黑体" w:cs="黑体"/>
      <w:sz w:val="32"/>
      <w:szCs w:val="32"/>
    </w:rPr>
  </w:style>
  <w:style w:type="paragraph" w:customStyle="1" w:styleId="19">
    <w:name w:val="Body text|1"/>
    <w:basedOn w:val="1"/>
    <w:qFormat/>
    <w:uiPriority w:val="0"/>
    <w:pPr>
      <w:widowControl w:val="0"/>
      <w:shd w:val="clear" w:color="auto" w:fill="auto"/>
      <w:spacing w:line="480" w:lineRule="auto"/>
      <w:ind w:firstLine="400"/>
    </w:pPr>
    <w:rPr>
      <w:rFonts w:ascii="宋体" w:hAnsi="宋体" w:eastAsia="宋体" w:cs="宋体"/>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6136</Words>
  <Characters>6412</Characters>
  <Lines>0</Lines>
  <Paragraphs>0</Paragraphs>
  <TotalTime>4</TotalTime>
  <ScaleCrop>false</ScaleCrop>
  <LinksUpToDate>false</LinksUpToDate>
  <CharactersWithSpaces>6819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2026-06-03T06:39:00Z</dcterms:created>
  <dc:creator>cy</dc:creator>
  <cp:lastModifiedBy>空白</cp:lastModifiedBy>
  <dcterms:modified xsi:type="dcterms:W3CDTF">2026-07-27T03:18:20Z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3CD5003DE05248B989BF84CAF994FCA5_13</vt:lpwstr>
  </property>
  <property fmtid="{D5CDD505-2E9C-101B-9397-08002B2CF9AE}" pid="4" name="KSOTemplateDocerSaveRecord">
    <vt:lpwstr>eyJoZGlkIjoiOTE5MTYyZWQ0ZTY0NDkzOTk5YjUzMWY5Y2I4NWJhNDQiLCJ1c2VySWQiOiI4OTA3NjI1NDAifQ==</vt:lpwstr>
  </property>
</Properties>
</file>