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2BDCA">
      <w:pPr>
        <w:keepNext w:val="0"/>
        <w:keepLines w:val="0"/>
        <w:pageBreakBefore w:val="0"/>
        <w:widowControl/>
        <w:suppressLineNumbers w:val="0"/>
        <w:kinsoku/>
        <w:wordWrap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附3：</w:t>
      </w:r>
    </w:p>
    <w:p w14:paraId="04965BDA">
      <w:pPr>
        <w:keepNext w:val="0"/>
        <w:keepLines w:val="0"/>
        <w:pageBreakBefore w:val="0"/>
        <w:widowControl/>
        <w:suppressLineNumbers w:val="0"/>
        <w:kinsoku/>
        <w:wordWrap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</w:p>
    <w:p w14:paraId="43007DB3">
      <w:pPr>
        <w:keepNext w:val="0"/>
        <w:keepLines w:val="0"/>
        <w:pageBreakBefore w:val="0"/>
        <w:widowControl/>
        <w:suppressLineNumbers w:val="0"/>
        <w:kinsoku/>
        <w:wordWrap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评审规则</w:t>
      </w:r>
    </w:p>
    <w:p w14:paraId="103779ED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评审小组会将对各投标人的投标报价、技术和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综合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方面进行综合评审，评审小组各成员应当独立对每个有效投标人的投标文件进行评价、打分。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计算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评审小组成员平均分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，得出各投标人的最终评审分，按最终评审分由高到低顺序排列。得分相同的，按投标报价由低到高顺序排列。得分且投标报价相同的，按技术指标优劣顺序排列，并形成评标意见。</w:t>
      </w:r>
    </w:p>
    <w:p w14:paraId="71BFB57F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各投标人的综合得分为:综合得分=价格部分得分+技术部分得分+综合部分得分，总分为100分，其中:价格部分得分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0分，技术部分得分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分、综合部分得分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分。</w:t>
      </w:r>
    </w:p>
    <w:tbl>
      <w:tblPr>
        <w:tblStyle w:val="24"/>
        <w:tblW w:w="92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876"/>
        <w:gridCol w:w="5663"/>
        <w:gridCol w:w="1345"/>
      </w:tblGrid>
      <w:tr w14:paraId="1A629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362" w:type="dxa"/>
            <w:noWrap w:val="0"/>
            <w:vAlign w:val="center"/>
          </w:tcPr>
          <w:p w14:paraId="405ABB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评分项</w:t>
            </w:r>
          </w:p>
        </w:tc>
        <w:tc>
          <w:tcPr>
            <w:tcW w:w="876" w:type="dxa"/>
            <w:noWrap w:val="0"/>
            <w:vAlign w:val="center"/>
          </w:tcPr>
          <w:p w14:paraId="05C6E0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分值</w:t>
            </w:r>
          </w:p>
        </w:tc>
        <w:tc>
          <w:tcPr>
            <w:tcW w:w="5663" w:type="dxa"/>
            <w:noWrap w:val="0"/>
            <w:vAlign w:val="center"/>
          </w:tcPr>
          <w:p w14:paraId="1D6E38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评审内容</w:t>
            </w:r>
          </w:p>
        </w:tc>
        <w:tc>
          <w:tcPr>
            <w:tcW w:w="1345" w:type="dxa"/>
            <w:noWrap w:val="0"/>
            <w:vAlign w:val="center"/>
          </w:tcPr>
          <w:p w14:paraId="254597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打分依据</w:t>
            </w:r>
          </w:p>
        </w:tc>
      </w:tr>
      <w:tr w14:paraId="2E24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2" w:type="dxa"/>
            <w:noWrap w:val="0"/>
            <w:vAlign w:val="center"/>
          </w:tcPr>
          <w:p w14:paraId="38915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价格部分</w:t>
            </w:r>
          </w:p>
        </w:tc>
        <w:tc>
          <w:tcPr>
            <w:tcW w:w="876" w:type="dxa"/>
            <w:noWrap w:val="0"/>
            <w:vAlign w:val="center"/>
          </w:tcPr>
          <w:p w14:paraId="63D64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60分</w:t>
            </w:r>
          </w:p>
        </w:tc>
        <w:tc>
          <w:tcPr>
            <w:tcW w:w="5663" w:type="dxa"/>
            <w:noWrap w:val="0"/>
            <w:vAlign w:val="center"/>
          </w:tcPr>
          <w:p w14:paraId="32FF2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基准价计算方法：</w:t>
            </w:r>
          </w:p>
          <w:p w14:paraId="08194C93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1、低于最高投标限价且通过初步评审的投标人为有效投标人，其投标报价为有效报价。</w:t>
            </w:r>
          </w:p>
          <w:p w14:paraId="3500D06F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2、基准价的计算方法：a.当有效投标人数量在5家以上（不含5家）时，采用二次平均的方法计算基准价，有效投标人的投标报价（不含税）去掉一个最高报价和一个最低报价的算术平均值为基准价；</w:t>
            </w:r>
          </w:p>
          <w:p w14:paraId="17D1DAFD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b.当有效投标人数量在5家及以下（含5家）的，采用一次平均的方法计算基准价，基准价为所有有效投标人投标报价（不含税）的算术平均值。</w:t>
            </w:r>
          </w:p>
          <w:p w14:paraId="049EB396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3、a.当报价高于基准价，计算得分公式：报价得分=(1-（报价-基准价）/基准价)×60；</w:t>
            </w:r>
          </w:p>
          <w:p w14:paraId="347E93B5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b.当报价低于或等于基准价，计算得分公式：报价得分=(1-（基准价-报价）/基准价)×60；</w:t>
            </w:r>
          </w:p>
          <w:p w14:paraId="2B48C354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eastAsia="zh-CN" w:bidi="ar"/>
              </w:rPr>
              <w:t>分值计算保留小数点后两位，第三位四舍五入。</w:t>
            </w:r>
          </w:p>
          <w:p w14:paraId="2690FC2E">
            <w:pPr>
              <w:widowControl/>
              <w:spacing w:line="400" w:lineRule="exact"/>
              <w:ind w:firstLine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34BED6C8">
            <w:pPr>
              <w:pStyle w:val="21"/>
              <w:spacing w:after="0" w:line="400" w:lineRule="exact"/>
              <w:ind w:firstLine="0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eastAsia="zh-CN" w:bidi="ar"/>
              </w:rPr>
              <w:t>报价函</w:t>
            </w:r>
          </w:p>
        </w:tc>
      </w:tr>
      <w:tr w14:paraId="78B15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362" w:type="dxa"/>
            <w:vMerge w:val="restart"/>
            <w:noWrap w:val="0"/>
            <w:vAlign w:val="center"/>
          </w:tcPr>
          <w:p w14:paraId="07C7B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技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术部分</w:t>
            </w:r>
          </w:p>
        </w:tc>
        <w:tc>
          <w:tcPr>
            <w:tcW w:w="876" w:type="dxa"/>
            <w:vMerge w:val="restart"/>
            <w:noWrap w:val="0"/>
            <w:vAlign w:val="center"/>
          </w:tcPr>
          <w:p w14:paraId="4D1F0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30分</w:t>
            </w:r>
          </w:p>
        </w:tc>
        <w:tc>
          <w:tcPr>
            <w:tcW w:w="5663" w:type="dxa"/>
            <w:noWrap w:val="0"/>
            <w:vAlign w:val="top"/>
          </w:tcPr>
          <w:p w14:paraId="2C7435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服务方案对本项目的理解和总体实施思路（m代表分值，满分8分）：</w:t>
            </w:r>
          </w:p>
          <w:p w14:paraId="216CAF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科学、可行、针对性强5＜m≤8；</w:t>
            </w:r>
          </w:p>
          <w:p w14:paraId="1EB8E4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合理、可行、细节待完善2＜m≤5；</w:t>
            </w:r>
          </w:p>
          <w:p w14:paraId="6890E0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欠合理，可行性较差，基本满足项目需要0≤m≤2。</w:t>
            </w:r>
          </w:p>
        </w:tc>
        <w:tc>
          <w:tcPr>
            <w:tcW w:w="1345" w:type="dxa"/>
            <w:noWrap w:val="0"/>
            <w:vAlign w:val="center"/>
          </w:tcPr>
          <w:p w14:paraId="3B5F3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</w:p>
        </w:tc>
      </w:tr>
      <w:tr w14:paraId="4CDA0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362" w:type="dxa"/>
            <w:vMerge w:val="continue"/>
            <w:noWrap w:val="0"/>
            <w:vAlign w:val="center"/>
          </w:tcPr>
          <w:p w14:paraId="26650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 w14:paraId="52540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663" w:type="dxa"/>
            <w:noWrap w:val="0"/>
            <w:vAlign w:val="top"/>
          </w:tcPr>
          <w:p w14:paraId="2458B4D1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服务质量保证措施（m代表分值，满分8分）：</w:t>
            </w:r>
          </w:p>
          <w:p w14:paraId="2076A59F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科学、可行、针对性强 5＜m≤8；</w:t>
            </w:r>
          </w:p>
          <w:p w14:paraId="2FE5504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合理、可行、细节待完善 2＜m≤5；</w:t>
            </w:r>
          </w:p>
          <w:p w14:paraId="096E394A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欠合理，可行性较差，基本满足项目需要0≤m≤2。</w:t>
            </w:r>
          </w:p>
        </w:tc>
        <w:tc>
          <w:tcPr>
            <w:tcW w:w="1345" w:type="dxa"/>
            <w:noWrap w:val="0"/>
            <w:vAlign w:val="center"/>
          </w:tcPr>
          <w:p w14:paraId="389293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337B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362" w:type="dxa"/>
            <w:vMerge w:val="continue"/>
            <w:noWrap w:val="0"/>
            <w:vAlign w:val="center"/>
          </w:tcPr>
          <w:p w14:paraId="72A13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 w14:paraId="3299E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663" w:type="dxa"/>
            <w:noWrap w:val="0"/>
            <w:vAlign w:val="top"/>
          </w:tcPr>
          <w:p w14:paraId="0B02FB41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安全管理方案（m代表分值，满分8分）：</w:t>
            </w:r>
          </w:p>
          <w:p w14:paraId="54A9B452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科学、可行、针对性强5＜m≤8；</w:t>
            </w:r>
          </w:p>
          <w:p w14:paraId="2E731764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合理、可行、细节待完善2＜m≤5；</w:t>
            </w:r>
          </w:p>
          <w:p w14:paraId="1209D9F0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欠合理，可行性较差，基本满足项目需要0≤m≤2。</w:t>
            </w:r>
          </w:p>
        </w:tc>
        <w:tc>
          <w:tcPr>
            <w:tcW w:w="1345" w:type="dxa"/>
            <w:noWrap w:val="0"/>
            <w:vAlign w:val="center"/>
          </w:tcPr>
          <w:p w14:paraId="68AD3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</w:p>
        </w:tc>
      </w:tr>
      <w:tr w14:paraId="350FD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62" w:type="dxa"/>
            <w:vMerge w:val="continue"/>
            <w:noWrap w:val="0"/>
            <w:vAlign w:val="center"/>
          </w:tcPr>
          <w:p w14:paraId="586E4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 w14:paraId="46034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663" w:type="dxa"/>
            <w:vMerge w:val="restart"/>
            <w:noWrap w:val="0"/>
            <w:vAlign w:val="top"/>
          </w:tcPr>
          <w:p w14:paraId="2A379EFB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  <w:t>培训方案（m代表分值，满分6分）：</w:t>
            </w:r>
          </w:p>
          <w:p w14:paraId="7EFE9E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科学、可行、针对性强4＜m≤6；</w:t>
            </w:r>
          </w:p>
          <w:p w14:paraId="01D0F0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合理、可行、细节待完善2＜m≤4；</w:t>
            </w:r>
          </w:p>
          <w:p w14:paraId="60EACE2B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欠合理，可行性较差，基本满足项目需要0≤m≤2。</w:t>
            </w:r>
          </w:p>
        </w:tc>
        <w:tc>
          <w:tcPr>
            <w:tcW w:w="1345" w:type="dxa"/>
            <w:noWrap w:val="0"/>
            <w:vAlign w:val="center"/>
          </w:tcPr>
          <w:p w14:paraId="6C918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</w:p>
        </w:tc>
      </w:tr>
      <w:tr w14:paraId="3B4D5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362" w:type="dxa"/>
            <w:vMerge w:val="continue"/>
            <w:noWrap w:val="0"/>
            <w:vAlign w:val="center"/>
          </w:tcPr>
          <w:p w14:paraId="399C4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 w14:paraId="0027D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663" w:type="dxa"/>
            <w:vMerge w:val="continue"/>
            <w:noWrap w:val="0"/>
            <w:vAlign w:val="top"/>
          </w:tcPr>
          <w:p w14:paraId="745FA027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471E0C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</w:p>
        </w:tc>
      </w:tr>
      <w:tr w14:paraId="1D4D2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62" w:type="dxa"/>
            <w:noWrap w:val="0"/>
            <w:vAlign w:val="center"/>
          </w:tcPr>
          <w:p w14:paraId="59585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综合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部分</w:t>
            </w:r>
          </w:p>
        </w:tc>
        <w:tc>
          <w:tcPr>
            <w:tcW w:w="876" w:type="dxa"/>
            <w:noWrap w:val="0"/>
            <w:vAlign w:val="center"/>
          </w:tcPr>
          <w:p w14:paraId="70DCC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10分</w:t>
            </w:r>
          </w:p>
        </w:tc>
        <w:tc>
          <w:tcPr>
            <w:tcW w:w="5663" w:type="dxa"/>
            <w:noWrap w:val="0"/>
            <w:vAlign w:val="top"/>
          </w:tcPr>
          <w:p w14:paraId="20436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  <w:t>业绩（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  <w:t>分）</w:t>
            </w:r>
          </w:p>
          <w:p w14:paraId="089DB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自2023年1月1日以来（以合同签订时间为准），供应商每提供1个同类有效业绩：</w:t>
            </w:r>
          </w:p>
          <w:p w14:paraId="7C85F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每个得2分，最多提供5个，最高得10分（超出部分及无效业绩不计分）；</w:t>
            </w:r>
          </w:p>
          <w:p w14:paraId="7E969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  <w:t>评标时同时提供下述证明材料：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</w:rPr>
              <w:t>加盖甲乙双方公章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>或合同章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</w:rPr>
              <w:t>的业绩合同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>需显示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</w:rPr>
              <w:t>：合同首页、标的页、双方盖章页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>签订时间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</w:rPr>
              <w:t>、服务内容页等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>合同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</w:rPr>
              <w:t>扫描件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>并加盖公章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），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并提供至少10%合同金额的发票复印件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。</w:t>
            </w:r>
          </w:p>
        </w:tc>
        <w:tc>
          <w:tcPr>
            <w:tcW w:w="1345" w:type="dxa"/>
            <w:noWrap w:val="0"/>
            <w:vAlign w:val="center"/>
          </w:tcPr>
          <w:p w14:paraId="71920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  <w:t>合同复印件（加盖公章）</w:t>
            </w:r>
          </w:p>
        </w:tc>
      </w:tr>
    </w:tbl>
    <w:p w14:paraId="24936928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1417" w:gutter="0"/>
          <w:pgNumType w:fmt="decimal"/>
          <w:cols w:space="425" w:num="1"/>
          <w:docGrid w:type="lines" w:linePitch="312" w:charSpace="0"/>
        </w:sectPr>
      </w:pPr>
    </w:p>
    <w:p w14:paraId="591DC2AD">
      <w:pPr>
        <w:keepNext w:val="0"/>
        <w:keepLines w:val="0"/>
        <w:pageBreakBefore w:val="0"/>
        <w:widowControl/>
        <w:suppressLineNumbers w:val="0"/>
        <w:kinsoku/>
        <w:wordWrap/>
        <w:autoSpaceDE/>
        <w:autoSpaceDN/>
        <w:bidi w:val="0"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附4：</w:t>
      </w:r>
    </w:p>
    <w:p w14:paraId="674AF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施工验收标准</w:t>
      </w:r>
    </w:p>
    <w:p w14:paraId="372D3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1.风机盘管清洗验收标准</w:t>
      </w:r>
    </w:p>
    <w:p w14:paraId="38B92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①风盘Y格拆卸清洗干净，无杂物，水流畅通；</w:t>
      </w:r>
    </w:p>
    <w:p w14:paraId="3B2BB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②托水盘清洗干净无杂物可见托盘本色，并投放防菌片（1—2片）；</w:t>
      </w:r>
    </w:p>
    <w:p w14:paraId="4608A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③风盘电机除尘，无灰尘，可见材质本色，安装后无异响；</w:t>
      </w:r>
    </w:p>
    <w:p w14:paraId="34EB8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④风盘风轮拆卸清洗干净，无灰尘可见材质本色，安装后无异响；</w:t>
      </w:r>
    </w:p>
    <w:p w14:paraId="403F9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⑤风盘表冷器清洗干净，无灰尘可见材质本色，通风顺畅；</w:t>
      </w:r>
    </w:p>
    <w:p w14:paraId="1199E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⑥进出回风网拆卸清洗干净消毒，风口恢复安装后无异响；</w:t>
      </w:r>
    </w:p>
    <w:p w14:paraId="74255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⑦风盘出风管道清洗干净，无积尘可见材质本色，通风顺畅无异响；</w:t>
      </w:r>
    </w:p>
    <w:p w14:paraId="59B1A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⑧风盘回风箱及回风管道清洗干净，无积尘可见材质本色，通风顺畅无异响；</w:t>
      </w:r>
    </w:p>
    <w:p w14:paraId="51DF3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⑨施工现场复位，打扫卫生，做好交付；</w:t>
      </w:r>
    </w:p>
    <w:p w14:paraId="65C35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⑩风盘各部位清洗前后施工对比图片，以报告形式提交。</w:t>
      </w:r>
    </w:p>
    <w:p w14:paraId="49070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2.风柜（吊柜）机组清洗验收标准</w:t>
      </w:r>
    </w:p>
    <w:p w14:paraId="47C50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①风柜（吊柜）Y格拆卸清洗干净，无杂物，水流畅通；</w:t>
      </w:r>
    </w:p>
    <w:p w14:paraId="04271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②风柜（吊柜）托水盘清洗干净无杂物可见托盘本色，并投放防菌片（2—4片）；</w:t>
      </w:r>
    </w:p>
    <w:p w14:paraId="34557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③风柜（吊柜）电机除尘，无灰尘，可见材质本色；</w:t>
      </w:r>
    </w:p>
    <w:p w14:paraId="415C4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④风柜（吊柜）风轮清洗干净，无灰尘可见材质本色，安装后无异响；</w:t>
      </w:r>
    </w:p>
    <w:p w14:paraId="6180E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⑤风柜（吊柜）表冷器清洗干净，无灰尘可见材质本色，通风顺畅；</w:t>
      </w:r>
    </w:p>
    <w:p w14:paraId="55C99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⑥风柜（吊柜）进出回风网拆卸清洗干净消毒，风口恢复安装后无异响；</w:t>
      </w:r>
    </w:p>
    <w:p w14:paraId="46999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⑦风柜（吊柜）出风管道清洗干净，无积尘可见材质本色，通风顺畅无异响</w:t>
      </w:r>
    </w:p>
    <w:p w14:paraId="446A7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⑧风柜（吊柜）回风箱及回风管道清洗干净，无积尘可见材质本色，通风顺畅无异响；</w:t>
      </w:r>
    </w:p>
    <w:p w14:paraId="0102D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⑨风柜（吊柜）风管清洗时开设工作口要规整，施工完毕后做好复位检查；</w:t>
      </w:r>
    </w:p>
    <w:p w14:paraId="0D097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⑩施工现场复位，打扫卫生，做好交付；</w:t>
      </w:r>
    </w:p>
    <w:p w14:paraId="18F82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32"/>
          <w:szCs w:val="32"/>
          <w:highlight w:val="none"/>
          <w:lang w:val="en-US" w:eastAsia="zh-CN"/>
        </w:rPr>
        <w:t>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风盘各部位清洗前后施工对比图片，以报告形式提交。</w:t>
      </w:r>
    </w:p>
    <w:p w14:paraId="6901D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3.空调箱及风道清洗验收标准</w:t>
      </w:r>
    </w:p>
    <w:p w14:paraId="37687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空调箱清洗应严格按照从新风回风到送风的顺序，分功能段清洁，不得跨段或者跳段清洗：</w:t>
      </w:r>
    </w:p>
    <w:p w14:paraId="0E850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①拆卸机组初效、中效过滤器，清洗干净，无灰尘，消毒</w:t>
      </w:r>
    </w:p>
    <w:p w14:paraId="7FECA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②清洗机组内外表面无灰尘可见材质本色</w:t>
      </w:r>
    </w:p>
    <w:p w14:paraId="3A758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③清洗混合段，检查并修复漏点，清洗干净，无灰尘，消毒；</w:t>
      </w:r>
    </w:p>
    <w:p w14:paraId="28EBF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④清洗表冷器，进行消毒消杀，清洗干净，无积尘可见材质本色，通风顺畅无异响；</w:t>
      </w:r>
    </w:p>
    <w:p w14:paraId="0B23C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⑤清洗送风段，检查电机及皮带，进行轴承润滑，必要时更换皮带；</w:t>
      </w:r>
    </w:p>
    <w:p w14:paraId="01BBB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⑥ 风道内采用机器人或人工清洗，清洗干净，无积尘；做好清洗前后的拍照或录像，汇总成报告进行提交。</w:t>
      </w:r>
    </w:p>
    <w:p w14:paraId="337B4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⑦将拆卸的风阀及风机软连接安装复位，并将清洗过程结束后残余的污水清洁干净，对污水按感染性废物处置，防止二次污染。</w:t>
      </w:r>
    </w:p>
    <w:sectPr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3D610F-C9D4-4487-9789-B4594841A23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A13CD76D-9C92-43A0-8216-922E0B8E5F3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30AF7A4-D871-48C8-ACFB-BF10A798102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4FB92303-0F87-4B1E-8C5D-536CC1AB259B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F0EAC">
    <w:pPr>
      <w:pStyle w:val="15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884B2A">
                          <w:pPr>
                            <w:pStyle w:val="1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884B2A">
                    <w:pPr>
                      <w:pStyle w:val="1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53A80">
    <w:pPr>
      <w:pStyle w:val="16"/>
      <w:pBdr>
        <w:bottom w:val="none" w:color="auto" w:sz="0" w:space="1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3OGZjOTdjYzE5MjAwMTJlNDM1OGRmMmZhMmQzNzYifQ=="/>
  </w:docVars>
  <w:rsids>
    <w:rsidRoot w:val="00172A27"/>
    <w:rsid w:val="00125E50"/>
    <w:rsid w:val="001F6D86"/>
    <w:rsid w:val="00276B3A"/>
    <w:rsid w:val="00352FAD"/>
    <w:rsid w:val="003E1FDA"/>
    <w:rsid w:val="003F53B5"/>
    <w:rsid w:val="00431E99"/>
    <w:rsid w:val="00531C57"/>
    <w:rsid w:val="00595103"/>
    <w:rsid w:val="00600BD5"/>
    <w:rsid w:val="00613AA2"/>
    <w:rsid w:val="00695AA5"/>
    <w:rsid w:val="0073611D"/>
    <w:rsid w:val="007479BB"/>
    <w:rsid w:val="0084158E"/>
    <w:rsid w:val="00843B82"/>
    <w:rsid w:val="008A0872"/>
    <w:rsid w:val="008B3BE5"/>
    <w:rsid w:val="00947FD6"/>
    <w:rsid w:val="009D1E6B"/>
    <w:rsid w:val="009E4C0F"/>
    <w:rsid w:val="00B23268"/>
    <w:rsid w:val="00BF2820"/>
    <w:rsid w:val="00CB23A4"/>
    <w:rsid w:val="00D806DA"/>
    <w:rsid w:val="00DA0E1E"/>
    <w:rsid w:val="00DA6910"/>
    <w:rsid w:val="00EF5216"/>
    <w:rsid w:val="00FA5748"/>
    <w:rsid w:val="015B3EFA"/>
    <w:rsid w:val="03147181"/>
    <w:rsid w:val="039302CB"/>
    <w:rsid w:val="03C83005"/>
    <w:rsid w:val="043857E5"/>
    <w:rsid w:val="04C878DF"/>
    <w:rsid w:val="07FA4E5D"/>
    <w:rsid w:val="086A3BF5"/>
    <w:rsid w:val="08884E5F"/>
    <w:rsid w:val="0A255AEB"/>
    <w:rsid w:val="0A95202C"/>
    <w:rsid w:val="0AA95014"/>
    <w:rsid w:val="0C762C95"/>
    <w:rsid w:val="0CB56867"/>
    <w:rsid w:val="0D802C2A"/>
    <w:rsid w:val="0F012249"/>
    <w:rsid w:val="0F51258A"/>
    <w:rsid w:val="10991C29"/>
    <w:rsid w:val="11505D2D"/>
    <w:rsid w:val="121C3D68"/>
    <w:rsid w:val="13195DF2"/>
    <w:rsid w:val="138E4347"/>
    <w:rsid w:val="14284445"/>
    <w:rsid w:val="14CF429B"/>
    <w:rsid w:val="14EA1A89"/>
    <w:rsid w:val="152A22D5"/>
    <w:rsid w:val="159F3563"/>
    <w:rsid w:val="163D0063"/>
    <w:rsid w:val="16B47EE4"/>
    <w:rsid w:val="18A22CF1"/>
    <w:rsid w:val="1CE27AFE"/>
    <w:rsid w:val="1DF0449D"/>
    <w:rsid w:val="1EB2293D"/>
    <w:rsid w:val="1EDF0317"/>
    <w:rsid w:val="1EEE5676"/>
    <w:rsid w:val="1F923E71"/>
    <w:rsid w:val="21F41E72"/>
    <w:rsid w:val="229F42F1"/>
    <w:rsid w:val="24561B58"/>
    <w:rsid w:val="25E55308"/>
    <w:rsid w:val="26735D8E"/>
    <w:rsid w:val="26C003D2"/>
    <w:rsid w:val="27D34AE9"/>
    <w:rsid w:val="28DC1EA9"/>
    <w:rsid w:val="28DE0127"/>
    <w:rsid w:val="2AC31D19"/>
    <w:rsid w:val="2B3657A5"/>
    <w:rsid w:val="2F212921"/>
    <w:rsid w:val="2F2A753E"/>
    <w:rsid w:val="317F26E3"/>
    <w:rsid w:val="325D4A32"/>
    <w:rsid w:val="33214889"/>
    <w:rsid w:val="339D48A3"/>
    <w:rsid w:val="34056A77"/>
    <w:rsid w:val="341304F2"/>
    <w:rsid w:val="3418375B"/>
    <w:rsid w:val="356C3BED"/>
    <w:rsid w:val="358021D8"/>
    <w:rsid w:val="39DB7729"/>
    <w:rsid w:val="3ABF43EB"/>
    <w:rsid w:val="3B9669FD"/>
    <w:rsid w:val="3C3144CC"/>
    <w:rsid w:val="3D123933"/>
    <w:rsid w:val="3E520AB7"/>
    <w:rsid w:val="3E99377B"/>
    <w:rsid w:val="3EEE34F2"/>
    <w:rsid w:val="3FBF410F"/>
    <w:rsid w:val="4026569F"/>
    <w:rsid w:val="40BB04E8"/>
    <w:rsid w:val="41BB00A1"/>
    <w:rsid w:val="41C31BEE"/>
    <w:rsid w:val="424F5681"/>
    <w:rsid w:val="425F7260"/>
    <w:rsid w:val="42962D89"/>
    <w:rsid w:val="4581721A"/>
    <w:rsid w:val="474871BA"/>
    <w:rsid w:val="478E3F7F"/>
    <w:rsid w:val="47DD3B65"/>
    <w:rsid w:val="4CAA3D63"/>
    <w:rsid w:val="4CBB6F20"/>
    <w:rsid w:val="4EEF7B64"/>
    <w:rsid w:val="4F987262"/>
    <w:rsid w:val="51282B28"/>
    <w:rsid w:val="52E1101E"/>
    <w:rsid w:val="55621BF2"/>
    <w:rsid w:val="57D57B58"/>
    <w:rsid w:val="58030082"/>
    <w:rsid w:val="5BF14F23"/>
    <w:rsid w:val="5C180C7F"/>
    <w:rsid w:val="5C9B6A23"/>
    <w:rsid w:val="5D382DE5"/>
    <w:rsid w:val="5DB43B79"/>
    <w:rsid w:val="5E1C4B80"/>
    <w:rsid w:val="5F0D6F6E"/>
    <w:rsid w:val="602C7119"/>
    <w:rsid w:val="618D1DCC"/>
    <w:rsid w:val="64B6468D"/>
    <w:rsid w:val="658E04F0"/>
    <w:rsid w:val="680A7EC9"/>
    <w:rsid w:val="684D5FCD"/>
    <w:rsid w:val="687D6AF8"/>
    <w:rsid w:val="6B127621"/>
    <w:rsid w:val="6B982733"/>
    <w:rsid w:val="6C9615CE"/>
    <w:rsid w:val="6D08069D"/>
    <w:rsid w:val="6DCE59DB"/>
    <w:rsid w:val="6E8432C8"/>
    <w:rsid w:val="700C2451"/>
    <w:rsid w:val="702C0856"/>
    <w:rsid w:val="709574F8"/>
    <w:rsid w:val="719B7304"/>
    <w:rsid w:val="722A4E10"/>
    <w:rsid w:val="728E4130"/>
    <w:rsid w:val="73533AF3"/>
    <w:rsid w:val="735D6C7B"/>
    <w:rsid w:val="73662AE6"/>
    <w:rsid w:val="74CF1C95"/>
    <w:rsid w:val="766B04BA"/>
    <w:rsid w:val="78F80E84"/>
    <w:rsid w:val="796920D3"/>
    <w:rsid w:val="796F2C3E"/>
    <w:rsid w:val="79751F59"/>
    <w:rsid w:val="799213BC"/>
    <w:rsid w:val="7A0927CF"/>
    <w:rsid w:val="7A1F235C"/>
    <w:rsid w:val="7A5243B5"/>
    <w:rsid w:val="7A893B69"/>
    <w:rsid w:val="7A8A6919"/>
    <w:rsid w:val="7AEF4831"/>
    <w:rsid w:val="7B177304"/>
    <w:rsid w:val="7B367B0A"/>
    <w:rsid w:val="7C330D3F"/>
    <w:rsid w:val="7CBA6AB3"/>
    <w:rsid w:val="7CF670E8"/>
    <w:rsid w:val="7D72047E"/>
    <w:rsid w:val="7FE8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next w:val="1"/>
    <w:link w:val="34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方正楷体_GB2312" w:cs="方正楷体_GB2312"/>
      <w:sz w:val="32"/>
      <w:szCs w:val="32"/>
    </w:rPr>
  </w:style>
  <w:style w:type="paragraph" w:styleId="4">
    <w:name w:val="heading 3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方正仿宋_GB2312" w:cs="方正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方正仿宋_GB2312" w:cs="方正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方正仿宋_GB2312" w:cs="方正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方正仿宋_GB2312" w:cs="方正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方正仿宋_GB2312" w:cs="方正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方正仿宋_GB2312" w:cs="方正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方正仿宋_GB2312" w:cs="方正仿宋_GB2312"/>
      <w:sz w:val="32"/>
      <w:szCs w:val="32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able of authorities"/>
    <w:basedOn w:val="1"/>
    <w:next w:val="1"/>
    <w:qFormat/>
    <w:uiPriority w:val="0"/>
    <w:pPr>
      <w:ind w:left="420" w:leftChars="200"/>
    </w:pPr>
  </w:style>
  <w:style w:type="paragraph" w:styleId="12">
    <w:name w:val="annotation text"/>
    <w:basedOn w:val="1"/>
    <w:qFormat/>
    <w:uiPriority w:val="0"/>
    <w:pPr>
      <w:jc w:val="left"/>
    </w:pPr>
  </w:style>
  <w:style w:type="paragraph" w:styleId="13">
    <w:name w:val="Body Text"/>
    <w:basedOn w:val="1"/>
    <w:next w:val="1"/>
    <w:link w:val="35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方正仿宋_GB2312" w:cs="方正仿宋_GB2312"/>
      <w:spacing w:val="-6"/>
      <w:sz w:val="32"/>
      <w:szCs w:val="32"/>
    </w:rPr>
  </w:style>
  <w:style w:type="paragraph" w:styleId="14">
    <w:name w:val="Body Text Indent"/>
    <w:basedOn w:val="1"/>
    <w:next w:val="1"/>
    <w:qFormat/>
    <w:uiPriority w:val="99"/>
    <w:pPr>
      <w:spacing w:after="120"/>
      <w:ind w:left="420" w:leftChars="200"/>
    </w:pPr>
    <w:rPr>
      <w:kern w:val="0"/>
      <w:lang w:val="zh-CN"/>
    </w:rPr>
  </w:style>
  <w:style w:type="paragraph" w:styleId="1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1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17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方正仿宋_GB2312" w:cs="方正仿宋_GB2312"/>
      <w:kern w:val="28"/>
      <w:sz w:val="32"/>
      <w:szCs w:val="32"/>
    </w:rPr>
  </w:style>
  <w:style w:type="paragraph" w:styleId="1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20">
    <w:name w:val="Title"/>
    <w:qFormat/>
    <w:uiPriority w:val="0"/>
    <w:pPr>
      <w:spacing w:line="720" w:lineRule="exact"/>
      <w:jc w:val="center"/>
      <w:outlineLvl w:val="9"/>
    </w:pPr>
    <w:rPr>
      <w:rFonts w:ascii="Arial Unicode MS" w:hAnsi="Arial Unicode MS" w:eastAsia="Arial Unicode MS" w:cs="Arial Unicode MS"/>
      <w:sz w:val="44"/>
      <w:szCs w:val="44"/>
    </w:rPr>
  </w:style>
  <w:style w:type="paragraph" w:styleId="21">
    <w:name w:val="Body Text First Indent"/>
    <w:basedOn w:val="13"/>
    <w:next w:val="22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22">
    <w:name w:val="Body Text First Indent 2"/>
    <w:basedOn w:val="14"/>
    <w:next w:val="1"/>
    <w:qFormat/>
    <w:uiPriority w:val="0"/>
    <w:pPr>
      <w:ind w:firstLine="420"/>
    </w:pPr>
  </w:style>
  <w:style w:type="table" w:styleId="24">
    <w:name w:val="Table Grid"/>
    <w:basedOn w:val="2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Hyperlink"/>
    <w:qFormat/>
    <w:uiPriority w:val="99"/>
    <w:rPr>
      <w:color w:val="0000FF"/>
      <w:u w:val="single"/>
    </w:rPr>
  </w:style>
  <w:style w:type="paragraph" w:customStyle="1" w:styleId="27">
    <w:name w:val="Default"/>
    <w:next w:val="18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8">
    <w:name w:val="Table Text"/>
    <w:basedOn w:val="1"/>
    <w:semiHidden/>
    <w:qFormat/>
    <w:uiPriority w:val="0"/>
    <w:rPr>
      <w:rFonts w:ascii="宋体" w:hAnsi="宋体" w:cs="宋体"/>
    </w:rPr>
  </w:style>
  <w:style w:type="paragraph" w:customStyle="1" w:styleId="29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0">
    <w:name w:val="标题3-1"/>
    <w:basedOn w:val="4"/>
    <w:qFormat/>
    <w:uiPriority w:val="0"/>
    <w:pPr>
      <w:tabs>
        <w:tab w:val="left" w:pos="425"/>
      </w:tabs>
      <w:ind w:left="425" w:hanging="425"/>
    </w:pPr>
    <w:rPr>
      <w:sz w:val="24"/>
    </w:rPr>
  </w:style>
  <w:style w:type="paragraph" w:customStyle="1" w:styleId="31">
    <w:name w:val="主送对象"/>
    <w:next w:val="1"/>
    <w:qFormat/>
    <w:uiPriority w:val="0"/>
    <w:pPr>
      <w:spacing w:line="560" w:lineRule="exact"/>
    </w:pPr>
    <w:rPr>
      <w:rFonts w:ascii="Times New Roman" w:hAnsi="Times New Roman" w:eastAsia="方正仿宋_GB2312" w:cs="方正仿宋_GB2312"/>
      <w:sz w:val="32"/>
      <w:szCs w:val="32"/>
    </w:rPr>
  </w:style>
  <w:style w:type="paragraph" w:customStyle="1" w:styleId="32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33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bidi="ar-SA"/>
    </w:rPr>
  </w:style>
  <w:style w:type="character" w:customStyle="1" w:styleId="34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</w:rPr>
  </w:style>
  <w:style w:type="character" w:customStyle="1" w:styleId="35">
    <w:name w:val="正文文本 Char"/>
    <w:link w:val="13"/>
    <w:qFormat/>
    <w:uiPriority w:val="0"/>
    <w:rPr>
      <w:rFonts w:ascii="Times New Roman" w:hAnsi="Times New Roman" w:eastAsia="方正仿宋_GB2312" w:cs="方正仿宋_GB2312"/>
      <w:spacing w:val="-6"/>
      <w:sz w:val="32"/>
      <w:szCs w:val="32"/>
    </w:rPr>
  </w:style>
  <w:style w:type="character" w:customStyle="1" w:styleId="36">
    <w:name w:val="font21"/>
    <w:basedOn w:val="2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37">
    <w:name w:val="Body text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CE4E1E-1059-4B9C-92AC-1D6FB00792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6460</Words>
  <Characters>6773</Characters>
  <Lines>134</Lines>
  <Paragraphs>121</Paragraphs>
  <TotalTime>18</TotalTime>
  <ScaleCrop>false</ScaleCrop>
  <LinksUpToDate>false</LinksUpToDate>
  <CharactersWithSpaces>7198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2025-07-14T00:16:00Z</dcterms:created>
  <dc:creator>19733</dc:creator>
  <cp:lastModifiedBy>空白</cp:lastModifiedBy>
  <cp:lastPrinted>2026-05-25T06:33:00Z</cp:lastPrinted>
  <dcterms:modified xsi:type="dcterms:W3CDTF">2026-08-19T03:09:59Z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eyJoZGlkIjoiOGM1ZGUyOTI1YWRkMTcxYjc3ZDkzMzVhNmI5NTk2MTAiLCJ1c2VySWQiOiI4OTA3NjI1NDAifQ==</vt:lpwstr>
  </property>
  <property fmtid="{D5CDD505-2E9C-101B-9397-08002B2CF9AE}" pid="4" name="ICV">
    <vt:lpwstr>95444035312645FEA7A818C4A0CF9CEF_13</vt:lpwstr>
  </property>
  <property fmtid="{D5CDD505-2E9C-101B-9397-08002B2CF9AE}" pid="5" name="标题_1">
    <vt:lpwstr>关于中原医学科学城国际交流中心项目厨房烟道清洗服务采购询价的请示</vt:lpwstr>
  </property>
  <property fmtid="{D5CDD505-2E9C-101B-9397-08002B2CF9AE}" pid="6" name="附件说明_1">
    <vt:lpwstr>附件：1．询价函2．报价函</vt:lpwstr>
  </property>
  <property fmtid="{D5CDD505-2E9C-101B-9397-08002B2CF9AE}" pid="7" name="成文日期_1">
    <vt:lpwstr>2026年5月7日</vt:lpwstr>
  </property>
  <property fmtid="{D5CDD505-2E9C-101B-9397-08002B2CF9AE}" pid="8" name="附件_1">
    <vt:lpwstr>附件1</vt:lpwstr>
  </property>
  <property fmtid="{D5CDD505-2E9C-101B-9397-08002B2CF9AE}" pid="9" name="主送机关">
    <vt:lpwstr>公司领导</vt:lpwstr>
  </property>
  <property fmtid="{D5CDD505-2E9C-101B-9397-08002B2CF9AE}" pid="10" name="发文机关署名">
    <vt:lpwstr>河南豫臻酒店有限公司</vt:lpwstr>
  </property>
</Properties>
</file>