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5897FA">
      <w:pPr>
        <w:rPr>
          <w:rFonts w:hint="eastAsia"/>
          <w:b/>
          <w:bCs/>
          <w:sz w:val="22"/>
          <w:szCs w:val="28"/>
          <w:lang w:val="en-US" w:eastAsia="zh-Hans"/>
        </w:rPr>
      </w:pPr>
      <w:r>
        <w:rPr>
          <w:rFonts w:hint="eastAsia"/>
          <w:b/>
          <w:bCs/>
          <w:sz w:val="22"/>
          <w:szCs w:val="28"/>
          <w:lang w:val="en-US" w:eastAsia="zh-Hans"/>
        </w:rPr>
        <w:t>（附件）项目清单要求如下：</w:t>
      </w:r>
    </w:p>
    <w:tbl>
      <w:tblPr>
        <w:tblStyle w:val="2"/>
        <w:tblW w:w="1287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0"/>
        <w:gridCol w:w="766"/>
        <w:gridCol w:w="883"/>
        <w:gridCol w:w="8383"/>
        <w:gridCol w:w="716"/>
        <w:gridCol w:w="783"/>
        <w:gridCol w:w="889"/>
      </w:tblGrid>
      <w:tr w14:paraId="2D3A8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12870"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52B0D">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智慧水务服务器及网络安全设备配置要求</w:t>
            </w:r>
          </w:p>
        </w:tc>
      </w:tr>
      <w:tr w14:paraId="5DFDB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3D3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8E8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名称</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23C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品牌型号</w:t>
            </w:r>
          </w:p>
        </w:tc>
        <w:tc>
          <w:tcPr>
            <w:tcW w:w="8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22D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功能描述</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60F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D0A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5002A">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Hans"/>
              </w:rPr>
            </w:pPr>
            <w:r>
              <w:rPr>
                <w:rFonts w:hint="eastAsia" w:ascii="宋体" w:hAnsi="宋体" w:eastAsia="宋体" w:cs="宋体"/>
                <w:i w:val="0"/>
                <w:iCs w:val="0"/>
                <w:color w:val="000000"/>
                <w:sz w:val="20"/>
                <w:szCs w:val="20"/>
                <w:u w:val="none"/>
                <w:lang w:val="en-US" w:eastAsia="zh-Hans"/>
              </w:rPr>
              <w:t>备注</w:t>
            </w:r>
          </w:p>
        </w:tc>
      </w:tr>
      <w:tr w14:paraId="3CA05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44" w:hRule="atLeast"/>
          <w:jc w:val="center"/>
        </w:trPr>
        <w:tc>
          <w:tcPr>
            <w:tcW w:w="450" w:type="dxa"/>
            <w:tcBorders>
              <w:top w:val="nil"/>
              <w:left w:val="single" w:color="000000" w:sz="4" w:space="0"/>
              <w:bottom w:val="single" w:color="000000" w:sz="4" w:space="0"/>
              <w:right w:val="single" w:color="000000" w:sz="4" w:space="0"/>
            </w:tcBorders>
            <w:shd w:val="clear" w:color="auto" w:fill="auto"/>
            <w:vAlign w:val="center"/>
          </w:tcPr>
          <w:p w14:paraId="7FACEB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6" w:type="dxa"/>
            <w:tcBorders>
              <w:top w:val="nil"/>
              <w:left w:val="single" w:color="000000" w:sz="4" w:space="0"/>
              <w:bottom w:val="single" w:color="000000" w:sz="4" w:space="0"/>
              <w:right w:val="single" w:color="000000" w:sz="4" w:space="0"/>
            </w:tcBorders>
            <w:shd w:val="clear" w:color="auto" w:fill="auto"/>
            <w:vAlign w:val="center"/>
          </w:tcPr>
          <w:p w14:paraId="5B1902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出口防火墙</w:t>
            </w:r>
          </w:p>
        </w:tc>
        <w:tc>
          <w:tcPr>
            <w:tcW w:w="883" w:type="dxa"/>
            <w:tcBorders>
              <w:top w:val="nil"/>
              <w:left w:val="single" w:color="000000" w:sz="4" w:space="0"/>
              <w:bottom w:val="single" w:color="000000" w:sz="4" w:space="0"/>
              <w:right w:val="single" w:color="000000" w:sz="4" w:space="0"/>
            </w:tcBorders>
            <w:shd w:val="clear" w:color="auto" w:fill="auto"/>
            <w:vAlign w:val="center"/>
          </w:tcPr>
          <w:p w14:paraId="68B10EC2">
            <w:pPr>
              <w:jc w:val="center"/>
              <w:rPr>
                <w:rFonts w:hint="default" w:ascii="宋体" w:hAnsi="宋体" w:eastAsia="宋体" w:cs="宋体"/>
                <w:i w:val="0"/>
                <w:iCs w:val="0"/>
                <w:color w:val="000000"/>
                <w:sz w:val="20"/>
                <w:szCs w:val="20"/>
                <w:u w:val="none"/>
                <w:lang w:eastAsia="zh-Hans"/>
              </w:rPr>
            </w:pPr>
            <w:r>
              <w:rPr>
                <w:rFonts w:hint="eastAsia" w:ascii="宋体" w:hAnsi="宋体" w:eastAsia="宋体" w:cs="宋体"/>
                <w:i w:val="0"/>
                <w:iCs w:val="0"/>
                <w:color w:val="000000"/>
                <w:sz w:val="20"/>
                <w:szCs w:val="20"/>
                <w:u w:val="none"/>
                <w:lang w:val="en-US" w:eastAsia="zh-Hans"/>
              </w:rPr>
              <w:t>深信服AF-1000-FH2150B-B8</w:t>
            </w:r>
            <w:r>
              <w:rPr>
                <w:rFonts w:hint="default" w:ascii="宋体" w:hAnsi="宋体" w:eastAsia="宋体" w:cs="宋体"/>
                <w:i w:val="0"/>
                <w:iCs w:val="0"/>
                <w:color w:val="000000"/>
                <w:sz w:val="20"/>
                <w:szCs w:val="20"/>
                <w:u w:val="none"/>
                <w:lang w:eastAsia="zh-Hans"/>
              </w:rPr>
              <w:t xml:space="preserve"> </w:t>
            </w:r>
          </w:p>
        </w:tc>
        <w:tc>
          <w:tcPr>
            <w:tcW w:w="8383" w:type="dxa"/>
            <w:tcBorders>
              <w:top w:val="nil"/>
              <w:left w:val="single" w:color="000000" w:sz="4" w:space="0"/>
              <w:bottom w:val="single" w:color="000000" w:sz="4" w:space="0"/>
              <w:right w:val="single" w:color="000000" w:sz="4" w:space="0"/>
            </w:tcBorders>
            <w:shd w:val="clear" w:color="auto" w:fill="auto"/>
            <w:vAlign w:val="center"/>
          </w:tcPr>
          <w:p w14:paraId="57F0590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1、性能参数:网络层吞吐量≥20G，防病毒吞吐量≥1.5G，IPS吞吐量≥1.5G，并发连接数≥300万，HTTP新建连接数≥9万，IPSec VPN最大接入数≥1000，IPSec VPN吞吐量≥700M。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2、硬件参数:标准1U架构，单电源，内存大小≥8G，硬盘容量≥128G SSD，接口≥8千兆电口+2万兆光口SFP+，提供不少于三年的原厂维保服务。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3、产品支持路由类型、协议类型、网络对象、国家地区等条件进行自动选路的策略路由，支持不少于3种的调度算法，至少包括带宽比例、加权流量、线路优先等。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产品内置不低于16000种漏洞规则，同时支持在控制台界面通过漏洞ID、漏洞名称、危险等级、漏洞CVE标识、漏洞描述等条件查询漏洞特征信息，支持用户自定义IPS规则，需提供产品功能截图证明和第三方检测报告并加盖厂商公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5、产品支持异常数据包攻击防御，防护类型包括IP数据块分片传输防护、Teardrop攻击防护、Smurf攻击防护、Land攻击防护、WinNuke攻击防护等攻击类型。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6、产品支持策略生命周期管理功能，支持对安全策略修改的时间、原因、变更类型进行统一管理，便于策略的运维与管理。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7、支持被动监测和主动扫描两种资产识别方式，可梳理离线资产、高危端口开放、冗余端口等安全风险；同时通过可视化的拓扑关系图，直观地展示资产和资产之间的访问关系、访问细节协议端口等信息。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8、★产品支持云端未知威胁主动探测技术，实现5min内未知威胁情报全网设备下发，需提供产品功能截图证明和第三方检测报告并加盖厂商公章。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9、产品支持僵尸主机检测功能，产品内置僵尸网络特征库超过128万种，可识别主机的异常外联行为。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10、产品支持基于IMAP、FTP、RDP、VNC、SSH、TELNET、ORACLE、MYSQL、MSSQL等应用协议进行深度检测与防护。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产品支持独立的账号安全防护模块，具备事前账号脆弱性、事中账号爆破、事后账号失陷的全生命周期安全防护，在设备界面可以详细展示账号安全相关信息，包括风险业务、风险等级、存在账号入口、存在弱口令、遭受口令爆破、异常登录账号登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12、所投产品的生产厂商具备成熟度模型CS-CMMI 5认证。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13、★为保证原厂支撑能力需提供针对本项目的设备制造商原厂的授权书和售后服务承诺函。</w:t>
            </w:r>
          </w:p>
        </w:tc>
        <w:tc>
          <w:tcPr>
            <w:tcW w:w="716" w:type="dxa"/>
            <w:tcBorders>
              <w:top w:val="nil"/>
              <w:left w:val="single" w:color="000000" w:sz="4" w:space="0"/>
              <w:bottom w:val="single" w:color="000000" w:sz="4" w:space="0"/>
              <w:right w:val="single" w:color="000000" w:sz="4" w:space="0"/>
            </w:tcBorders>
            <w:shd w:val="clear" w:color="auto" w:fill="auto"/>
            <w:noWrap/>
            <w:vAlign w:val="center"/>
          </w:tcPr>
          <w:p w14:paraId="6027B3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83" w:type="dxa"/>
            <w:tcBorders>
              <w:top w:val="nil"/>
              <w:left w:val="single" w:color="000000" w:sz="4" w:space="0"/>
              <w:bottom w:val="single" w:color="000000" w:sz="4" w:space="0"/>
              <w:right w:val="single" w:color="000000" w:sz="4" w:space="0"/>
            </w:tcBorders>
            <w:shd w:val="clear" w:color="auto" w:fill="auto"/>
            <w:noWrap/>
            <w:vAlign w:val="center"/>
          </w:tcPr>
          <w:p w14:paraId="16FA27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89" w:type="dxa"/>
            <w:tcBorders>
              <w:top w:val="nil"/>
              <w:left w:val="single" w:color="000000" w:sz="4" w:space="0"/>
              <w:bottom w:val="single" w:color="000000" w:sz="4" w:space="0"/>
              <w:right w:val="single" w:color="000000" w:sz="4" w:space="0"/>
            </w:tcBorders>
            <w:shd w:val="clear" w:color="auto" w:fill="auto"/>
            <w:vAlign w:val="center"/>
          </w:tcPr>
          <w:p w14:paraId="405FF8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14:paraId="0A282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450" w:type="dxa"/>
            <w:tcBorders>
              <w:top w:val="nil"/>
              <w:left w:val="single" w:color="000000" w:sz="4" w:space="0"/>
              <w:bottom w:val="single" w:color="000000" w:sz="4" w:space="0"/>
              <w:right w:val="single" w:color="000000" w:sz="4" w:space="0"/>
            </w:tcBorders>
            <w:shd w:val="clear" w:color="auto" w:fill="auto"/>
            <w:vAlign w:val="center"/>
          </w:tcPr>
          <w:p w14:paraId="38720A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6" w:type="dxa"/>
            <w:tcBorders>
              <w:top w:val="nil"/>
              <w:left w:val="single" w:color="000000" w:sz="4" w:space="0"/>
              <w:bottom w:val="single" w:color="000000" w:sz="4" w:space="0"/>
              <w:right w:val="single" w:color="000000" w:sz="4" w:space="0"/>
            </w:tcBorders>
            <w:shd w:val="clear" w:color="auto" w:fill="auto"/>
            <w:vAlign w:val="center"/>
          </w:tcPr>
          <w:p w14:paraId="2B83A7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网络隔离设备（网闸）</w:t>
            </w:r>
          </w:p>
        </w:tc>
        <w:tc>
          <w:tcPr>
            <w:tcW w:w="883" w:type="dxa"/>
            <w:tcBorders>
              <w:top w:val="nil"/>
              <w:left w:val="single" w:color="000000" w:sz="4" w:space="0"/>
              <w:bottom w:val="single" w:color="000000" w:sz="4" w:space="0"/>
              <w:right w:val="single" w:color="000000" w:sz="4" w:space="0"/>
            </w:tcBorders>
            <w:shd w:val="clear" w:color="auto" w:fill="auto"/>
            <w:vAlign w:val="center"/>
          </w:tcPr>
          <w:p w14:paraId="5FDD77B7">
            <w:pPr>
              <w:jc w:val="center"/>
              <w:rPr>
                <w:rFonts w:hint="default" w:ascii="宋体" w:hAnsi="宋体" w:eastAsia="宋体" w:cs="宋体"/>
                <w:i w:val="0"/>
                <w:iCs w:val="0"/>
                <w:color w:val="000000"/>
                <w:sz w:val="20"/>
                <w:szCs w:val="20"/>
                <w:u w:val="none"/>
                <w:lang w:val="en-US" w:eastAsia="zh-Hans"/>
              </w:rPr>
            </w:pPr>
            <w:r>
              <w:rPr>
                <w:rFonts w:hint="eastAsia" w:ascii="宋体" w:hAnsi="宋体" w:eastAsia="宋体" w:cs="宋体"/>
                <w:i w:val="0"/>
                <w:iCs w:val="0"/>
                <w:color w:val="000000"/>
                <w:sz w:val="20"/>
                <w:szCs w:val="20"/>
                <w:u w:val="none"/>
                <w:lang w:val="en-US" w:eastAsia="zh-Hans"/>
              </w:rPr>
              <w:t>启明星辰GAP</w:t>
            </w:r>
            <w:r>
              <w:rPr>
                <w:rFonts w:hint="default" w:ascii="宋体" w:hAnsi="宋体" w:eastAsia="宋体" w:cs="宋体"/>
                <w:i w:val="0"/>
                <w:iCs w:val="0"/>
                <w:color w:val="000000"/>
                <w:sz w:val="20"/>
                <w:szCs w:val="20"/>
                <w:u w:val="none"/>
                <w:lang w:eastAsia="zh-Hans"/>
              </w:rPr>
              <w:t>-6000-1300</w:t>
            </w:r>
            <w:r>
              <w:rPr>
                <w:rFonts w:hint="eastAsia" w:ascii="宋体" w:hAnsi="宋体" w:eastAsia="宋体" w:cs="宋体"/>
                <w:i w:val="0"/>
                <w:iCs w:val="0"/>
                <w:color w:val="000000"/>
                <w:sz w:val="20"/>
                <w:szCs w:val="20"/>
                <w:u w:val="none"/>
                <w:lang w:val="en-US" w:eastAsia="zh-Hans"/>
              </w:rPr>
              <w:t>BD</w:t>
            </w:r>
          </w:p>
        </w:tc>
        <w:tc>
          <w:tcPr>
            <w:tcW w:w="8383" w:type="dxa"/>
            <w:tcBorders>
              <w:top w:val="nil"/>
              <w:left w:val="single" w:color="000000" w:sz="4" w:space="0"/>
              <w:bottom w:val="single" w:color="000000" w:sz="4" w:space="0"/>
              <w:right w:val="single" w:color="000000" w:sz="4" w:space="0"/>
            </w:tcBorders>
            <w:shd w:val="clear" w:color="auto" w:fill="auto"/>
            <w:vAlign w:val="center"/>
          </w:tcPr>
          <w:p w14:paraId="5C0CF7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硬件规格：</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标准机架式设备，千兆电口≥6个，千兆光口≥2个，万兆光口≥2个，扩展槽≥2个，存储容量≥4TB，双电源。字符会话≥600路、图形会话并发≥200路。运维资源授权≥50个。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软件参数：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1、支持运维资源管理功能，包括添加、删除、启用、禁用、移动、修改、查看授权功能。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2、支持FTP、SFTP、SSH、RDP、SCP等协议运维时，对传输文件进行留存，为事后朔源留下证据。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3、支持RDP、VNC图形操作过程中键盘输入操作记录和鼠标点击行为记录，并支持开启或关闭键盘输入审计功能。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4、支持扫描本地运维工具并进行配置保存，简化运维人员使用配置过程。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5、支持下发临时访问授权，限制特定的运维用户在特定时间范围内访问授权等功能，提供第三方权威检测机构出具的检测报告。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6、支持设置自动改密计划、自动改密结果发送、下载密码及手动改密等功能，提供第三方权威检测机构出具的检测报告。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7、★支持H5应用发布运维，使用H5的方式去拉取应用发布服务器上的运维工具，通过应用发布服务器去运维目标协议，提供加盖设备制造商公章的截图证明。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支持Oracle（支持ORACLERAC）、SQLServer、IBMDB2、Sybase、IBMInformixDynamicServer、MySQL、PostgreSQL、Teradata、DM、KingBase、MongoDb、Redis、GBase、GaussDB、OceanBase、GreateDb、GoldenDB、AISWareAntDB、TeleDB、TelePG、Vertica、Hive、ClickHouse、瀚高、CMDB（磐维）数据库下行返回行数记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9、★支持配置“pg类国产化数据库”、“mysql类国产化数据库”类型服务，能够扩展mysql和pg协议类型的国产化数据库实现代填和运维审计，提供加盖设备制造商公章的截图证明。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10、产品具备网络安全专用产品安全检测证书 运维安全管理产品（增强级），提供证明材料并加盖设备制造商原厂公章。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11、为保证制造商的售后服务水平及能力，产品制造商提供符合GB/T 27922-2011标准的《商品售后服务评价认证》，提供证明材料并加盖设备制造商原厂公章。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12、★为保证原厂支撑能力需提供针对本项目的设备制造商原厂的授权书和售后服务承诺函。</w:t>
            </w:r>
          </w:p>
        </w:tc>
        <w:tc>
          <w:tcPr>
            <w:tcW w:w="716" w:type="dxa"/>
            <w:tcBorders>
              <w:top w:val="nil"/>
              <w:left w:val="single" w:color="000000" w:sz="4" w:space="0"/>
              <w:bottom w:val="single" w:color="000000" w:sz="4" w:space="0"/>
              <w:right w:val="single" w:color="000000" w:sz="4" w:space="0"/>
            </w:tcBorders>
            <w:shd w:val="clear" w:color="auto" w:fill="auto"/>
            <w:noWrap/>
            <w:vAlign w:val="center"/>
          </w:tcPr>
          <w:p w14:paraId="4495B6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83" w:type="dxa"/>
            <w:tcBorders>
              <w:top w:val="nil"/>
              <w:left w:val="single" w:color="000000" w:sz="4" w:space="0"/>
              <w:bottom w:val="single" w:color="000000" w:sz="4" w:space="0"/>
              <w:right w:val="single" w:color="000000" w:sz="4" w:space="0"/>
            </w:tcBorders>
            <w:shd w:val="clear" w:color="auto" w:fill="auto"/>
            <w:noWrap/>
            <w:vAlign w:val="center"/>
          </w:tcPr>
          <w:p w14:paraId="2D2E63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89" w:type="dxa"/>
            <w:tcBorders>
              <w:top w:val="nil"/>
              <w:left w:val="single" w:color="000000" w:sz="4" w:space="0"/>
              <w:bottom w:val="single" w:color="000000" w:sz="4" w:space="0"/>
              <w:right w:val="single" w:color="000000" w:sz="4" w:space="0"/>
            </w:tcBorders>
            <w:shd w:val="clear" w:color="auto" w:fill="auto"/>
            <w:vAlign w:val="center"/>
          </w:tcPr>
          <w:p w14:paraId="6C17BD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14:paraId="29AB4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450" w:type="dxa"/>
            <w:tcBorders>
              <w:top w:val="nil"/>
              <w:left w:val="single" w:color="000000" w:sz="4" w:space="0"/>
              <w:bottom w:val="single" w:color="000000" w:sz="4" w:space="0"/>
              <w:right w:val="single" w:color="000000" w:sz="4" w:space="0"/>
            </w:tcBorders>
            <w:shd w:val="clear" w:color="auto" w:fill="auto"/>
            <w:vAlign w:val="center"/>
          </w:tcPr>
          <w:p w14:paraId="3BEE58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66" w:type="dxa"/>
            <w:tcBorders>
              <w:top w:val="nil"/>
              <w:left w:val="single" w:color="000000" w:sz="4" w:space="0"/>
              <w:bottom w:val="single" w:color="000000" w:sz="4" w:space="0"/>
              <w:right w:val="single" w:color="000000" w:sz="4" w:space="0"/>
            </w:tcBorders>
            <w:shd w:val="clear" w:color="auto" w:fill="auto"/>
            <w:vAlign w:val="center"/>
          </w:tcPr>
          <w:p w14:paraId="3B5265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服务器终端安全防护系统</w:t>
            </w:r>
          </w:p>
        </w:tc>
        <w:tc>
          <w:tcPr>
            <w:tcW w:w="883" w:type="dxa"/>
            <w:tcBorders>
              <w:top w:val="nil"/>
              <w:left w:val="single" w:color="000000" w:sz="4" w:space="0"/>
              <w:bottom w:val="single" w:color="000000" w:sz="4" w:space="0"/>
              <w:right w:val="single" w:color="000000" w:sz="4" w:space="0"/>
            </w:tcBorders>
            <w:shd w:val="clear" w:color="auto" w:fill="auto"/>
            <w:vAlign w:val="center"/>
          </w:tcPr>
          <w:p w14:paraId="6E7B1881">
            <w:pPr>
              <w:jc w:val="center"/>
              <w:rPr>
                <w:rFonts w:hint="default" w:ascii="宋体" w:hAnsi="宋体" w:eastAsia="宋体" w:cs="宋体"/>
                <w:i w:val="0"/>
                <w:iCs w:val="0"/>
                <w:color w:val="000000"/>
                <w:sz w:val="20"/>
                <w:szCs w:val="20"/>
                <w:u w:val="none"/>
                <w:lang w:val="en-US" w:eastAsia="zh-Hans"/>
              </w:rPr>
            </w:pPr>
            <w:r>
              <w:rPr>
                <w:rFonts w:hint="eastAsia" w:ascii="宋体" w:hAnsi="宋体" w:eastAsia="宋体" w:cs="宋体"/>
                <w:i w:val="0"/>
                <w:iCs w:val="0"/>
                <w:color w:val="000000"/>
                <w:sz w:val="20"/>
                <w:szCs w:val="20"/>
                <w:u w:val="none"/>
                <w:lang w:val="en-US" w:eastAsia="zh-Hans"/>
              </w:rPr>
              <w:t>深信服aEs</w:t>
            </w:r>
          </w:p>
        </w:tc>
        <w:tc>
          <w:tcPr>
            <w:tcW w:w="8383" w:type="dxa"/>
            <w:tcBorders>
              <w:top w:val="nil"/>
              <w:left w:val="single" w:color="000000" w:sz="4" w:space="0"/>
              <w:bottom w:val="single" w:color="000000" w:sz="4" w:space="0"/>
              <w:right w:val="single" w:color="000000" w:sz="4" w:space="0"/>
            </w:tcBorders>
            <w:shd w:val="clear" w:color="auto" w:fill="auto"/>
            <w:vAlign w:val="center"/>
          </w:tcPr>
          <w:p w14:paraId="21AF7FA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1、≥4个服务器端授权，提供不少于三年的软件升级服务。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安全策略一体化配置，通过单一策略即可实现不同安全功能的配置，包括：终端病毒查杀的文件扫描配置、文件实时监控的参数配置、WebShell检测和威胁处置方式、暴力破解的威胁处置方式和Windows白名单信任目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对系统账号信息进行梳理，了解账号权限分布概况以及风险账号分布情况，可按照隐藏账号、可疑root权限账号、长期未使用账号、夜间登录、多IP登录进行账号分类查看，支持统计最近一年未修改密码的账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同厂商的防火墙检测到某主机有僵木蠕毒的C2通信时，支持手动或自动化将恶意域名信息下发到本产品做C2通信的封锁遏制，实现精准防远控，且防火墙的此事件不再重复告警，提供防火墙产品的联动下发C2通信封锁拦截的功能截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5、支持将PC侧系统层、应用层采集的行为数据与安全日志、端侧基本信息等上报至XDR平台，借用云端算力对海量端侧数据精准分析。并对告警削减，达到精准研判的效果。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6、支持勒索可疑行为检测，通过行为AI能力对勒索信、命令行、修改文件等多种躲避式投放勒索病毒的高危高频场景进行精准告警和自动拦截。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7、★支持跳转链接至云端威胁情报中心，针对已发生的威胁提供详细的分析结果，包含威胁分析、网络行为、静态分析、分析环境和影响分析，需提供产品界面截图并加盖厂商公章。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8、支持客户端的错峰升级，可根据实际情况控制客户端同时升级的最大数量，避免大量终端程序同时更新造成网络拥堵或I/O风暴。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支持Linux服务器SSH远程登录保护，可开启SSH远程登录二次认证，以防止黑客利用弱密码脆弱性对服务器的入侵；支持设置验证码验证或自定义密码验证，支持设置登录认证提示、生效时间段和免二次认证白名单，需提供产品界面截图并加盖厂商公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10、统计单个攻击源及分布式攻击源的暴力破解检测，支持按照SMB、SSH和MSSQL类型进行封堵并自定义爆破阈值，可对封停时间进行自设置。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11、具备强力专杀云端下发通道，支持在管理端批量下发强力专杀工具到内网各终端快速响应终端威胁。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12、★为增强安全功能联动处置能力，所投产品的生产厂商需与出口防火墙保持一致。</w:t>
            </w:r>
          </w:p>
        </w:tc>
        <w:tc>
          <w:tcPr>
            <w:tcW w:w="716" w:type="dxa"/>
            <w:tcBorders>
              <w:top w:val="nil"/>
              <w:left w:val="single" w:color="000000" w:sz="4" w:space="0"/>
              <w:bottom w:val="single" w:color="000000" w:sz="4" w:space="0"/>
              <w:right w:val="single" w:color="000000" w:sz="4" w:space="0"/>
            </w:tcBorders>
            <w:shd w:val="clear" w:color="auto" w:fill="auto"/>
            <w:noWrap/>
            <w:vAlign w:val="center"/>
          </w:tcPr>
          <w:p w14:paraId="08AFFA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83" w:type="dxa"/>
            <w:tcBorders>
              <w:top w:val="nil"/>
              <w:left w:val="single" w:color="000000" w:sz="4" w:space="0"/>
              <w:bottom w:val="single" w:color="000000" w:sz="4" w:space="0"/>
              <w:right w:val="single" w:color="000000" w:sz="4" w:space="0"/>
            </w:tcBorders>
            <w:shd w:val="clear" w:color="auto" w:fill="auto"/>
            <w:noWrap/>
            <w:vAlign w:val="center"/>
          </w:tcPr>
          <w:p w14:paraId="5FD467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89" w:type="dxa"/>
            <w:tcBorders>
              <w:top w:val="nil"/>
              <w:left w:val="single" w:color="000000" w:sz="4" w:space="0"/>
              <w:bottom w:val="single" w:color="000000" w:sz="4" w:space="0"/>
              <w:right w:val="single" w:color="000000" w:sz="4" w:space="0"/>
            </w:tcBorders>
            <w:shd w:val="clear" w:color="auto" w:fill="auto"/>
            <w:vAlign w:val="center"/>
          </w:tcPr>
          <w:p w14:paraId="3A93E0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14:paraId="3E105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0" w:hRule="atLeast"/>
          <w:jc w:val="center"/>
        </w:trPr>
        <w:tc>
          <w:tcPr>
            <w:tcW w:w="450" w:type="dxa"/>
            <w:tcBorders>
              <w:top w:val="nil"/>
              <w:left w:val="single" w:color="000000" w:sz="4" w:space="0"/>
              <w:bottom w:val="single" w:color="000000" w:sz="4" w:space="0"/>
              <w:right w:val="single" w:color="000000" w:sz="4" w:space="0"/>
            </w:tcBorders>
            <w:shd w:val="clear" w:color="auto" w:fill="auto"/>
            <w:vAlign w:val="center"/>
          </w:tcPr>
          <w:p w14:paraId="45B4FF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66" w:type="dxa"/>
            <w:tcBorders>
              <w:top w:val="nil"/>
              <w:left w:val="single" w:color="000000" w:sz="4" w:space="0"/>
              <w:bottom w:val="single" w:color="000000" w:sz="4" w:space="0"/>
              <w:right w:val="single" w:color="000000" w:sz="4" w:space="0"/>
            </w:tcBorders>
            <w:shd w:val="clear" w:color="auto" w:fill="auto"/>
            <w:vAlign w:val="center"/>
          </w:tcPr>
          <w:p w14:paraId="47B474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应用服务器</w:t>
            </w:r>
          </w:p>
        </w:tc>
        <w:tc>
          <w:tcPr>
            <w:tcW w:w="883" w:type="dxa"/>
            <w:tcBorders>
              <w:top w:val="nil"/>
              <w:left w:val="single" w:color="000000" w:sz="4" w:space="0"/>
              <w:bottom w:val="single" w:color="000000" w:sz="4" w:space="0"/>
              <w:right w:val="single" w:color="000000" w:sz="4" w:space="0"/>
            </w:tcBorders>
            <w:shd w:val="clear" w:color="auto" w:fill="auto"/>
            <w:vAlign w:val="center"/>
          </w:tcPr>
          <w:p w14:paraId="5D7C98ED">
            <w:pPr>
              <w:jc w:val="center"/>
              <w:rPr>
                <w:rFonts w:hint="eastAsia" w:ascii="宋体" w:hAnsi="宋体" w:eastAsia="宋体" w:cs="宋体"/>
                <w:i w:val="0"/>
                <w:iCs w:val="0"/>
                <w:color w:val="000000"/>
                <w:sz w:val="20"/>
                <w:szCs w:val="20"/>
                <w:u w:val="none"/>
                <w:lang w:val="en-US" w:eastAsia="zh-Hans"/>
              </w:rPr>
            </w:pPr>
            <w:r>
              <w:rPr>
                <w:rFonts w:hint="eastAsia" w:ascii="宋体" w:hAnsi="宋体" w:eastAsia="宋体" w:cs="宋体"/>
                <w:i w:val="0"/>
                <w:iCs w:val="0"/>
                <w:color w:val="000000"/>
                <w:sz w:val="20"/>
                <w:szCs w:val="20"/>
                <w:u w:val="none"/>
                <w:lang w:val="en-US" w:eastAsia="zh-Hans"/>
              </w:rPr>
              <w:t>浪潮NF5280 M6</w:t>
            </w:r>
          </w:p>
        </w:tc>
        <w:tc>
          <w:tcPr>
            <w:tcW w:w="8383" w:type="dxa"/>
            <w:tcBorders>
              <w:top w:val="nil"/>
              <w:left w:val="single" w:color="000000" w:sz="4" w:space="0"/>
              <w:bottom w:val="single" w:color="000000" w:sz="4" w:space="0"/>
              <w:right w:val="single" w:color="000000" w:sz="4" w:space="0"/>
            </w:tcBorders>
            <w:shd w:val="clear" w:color="auto" w:fill="auto"/>
            <w:vAlign w:val="center"/>
          </w:tcPr>
          <w:p w14:paraId="1EA679A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1、规格：2U机架式，国有品牌，自主研发，非OEM产品；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2、★CPU类型：配置两颗6330(2.0GHz/28-Core/42MB/205W)处理器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3、内存：最大配置32条 DDR4 内存，最大支持4TB，本次配置2条，单条32G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4、硬盘：本次配置2块2.5寸 960G SSD企业级硬盘，3块2.4T SAS 2.5英寸企业级硬盘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5、阵列卡：配置PM8222 支持RAID0.1.5.10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6、板载网卡：最大配置2个万兆以太网光口+4个千兆以太网电口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7、电源及外设：配置2冗余800W电源模块，机架安装导轨；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8、管理：支持简体中文版服务器管理软件，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9、维护：模块化免工具拆卸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10、服务：三年免费整机硬件保修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11、安全：支持TPM/TCM安全可信模块</w:t>
            </w:r>
          </w:p>
        </w:tc>
        <w:tc>
          <w:tcPr>
            <w:tcW w:w="716" w:type="dxa"/>
            <w:tcBorders>
              <w:top w:val="nil"/>
              <w:left w:val="single" w:color="000000" w:sz="4" w:space="0"/>
              <w:bottom w:val="single" w:color="000000" w:sz="4" w:space="0"/>
              <w:right w:val="single" w:color="000000" w:sz="4" w:space="0"/>
            </w:tcBorders>
            <w:shd w:val="clear" w:color="auto" w:fill="auto"/>
            <w:noWrap/>
            <w:vAlign w:val="center"/>
          </w:tcPr>
          <w:p w14:paraId="53F742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83" w:type="dxa"/>
            <w:tcBorders>
              <w:top w:val="nil"/>
              <w:left w:val="single" w:color="000000" w:sz="4" w:space="0"/>
              <w:bottom w:val="single" w:color="000000" w:sz="4" w:space="0"/>
              <w:right w:val="single" w:color="000000" w:sz="4" w:space="0"/>
            </w:tcBorders>
            <w:shd w:val="clear" w:color="auto" w:fill="auto"/>
            <w:noWrap/>
            <w:vAlign w:val="center"/>
          </w:tcPr>
          <w:p w14:paraId="5FEB38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89" w:type="dxa"/>
            <w:tcBorders>
              <w:top w:val="nil"/>
              <w:left w:val="single" w:color="000000" w:sz="4" w:space="0"/>
              <w:bottom w:val="single" w:color="000000" w:sz="4" w:space="0"/>
              <w:right w:val="single" w:color="000000" w:sz="4" w:space="0"/>
            </w:tcBorders>
            <w:shd w:val="clear" w:color="auto" w:fill="auto"/>
            <w:vAlign w:val="center"/>
          </w:tcPr>
          <w:p w14:paraId="05D0E0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14:paraId="4836F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0" w:hRule="atLeast"/>
          <w:jc w:val="center"/>
        </w:trPr>
        <w:tc>
          <w:tcPr>
            <w:tcW w:w="450" w:type="dxa"/>
            <w:tcBorders>
              <w:top w:val="nil"/>
              <w:left w:val="single" w:color="000000" w:sz="4" w:space="0"/>
              <w:bottom w:val="single" w:color="000000" w:sz="4" w:space="0"/>
              <w:right w:val="single" w:color="000000" w:sz="4" w:space="0"/>
            </w:tcBorders>
            <w:shd w:val="clear" w:color="auto" w:fill="auto"/>
            <w:vAlign w:val="center"/>
          </w:tcPr>
          <w:p w14:paraId="5AA454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6" w:type="dxa"/>
            <w:tcBorders>
              <w:top w:val="nil"/>
              <w:left w:val="single" w:color="000000" w:sz="4" w:space="0"/>
              <w:bottom w:val="single" w:color="000000" w:sz="4" w:space="0"/>
              <w:right w:val="single" w:color="000000" w:sz="4" w:space="0"/>
            </w:tcBorders>
            <w:shd w:val="clear" w:color="auto" w:fill="auto"/>
            <w:vAlign w:val="center"/>
          </w:tcPr>
          <w:p w14:paraId="6B093C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数据库服务器</w:t>
            </w:r>
          </w:p>
        </w:tc>
        <w:tc>
          <w:tcPr>
            <w:tcW w:w="883" w:type="dxa"/>
            <w:tcBorders>
              <w:top w:val="nil"/>
              <w:left w:val="single" w:color="000000" w:sz="4" w:space="0"/>
              <w:bottom w:val="single" w:color="000000" w:sz="4" w:space="0"/>
              <w:right w:val="single" w:color="000000" w:sz="4" w:space="0"/>
            </w:tcBorders>
            <w:shd w:val="clear" w:color="auto" w:fill="auto"/>
            <w:vAlign w:val="center"/>
          </w:tcPr>
          <w:p w14:paraId="007B3FDE">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Hans"/>
              </w:rPr>
              <w:t>浪潮NF5280 M6</w:t>
            </w:r>
          </w:p>
        </w:tc>
        <w:tc>
          <w:tcPr>
            <w:tcW w:w="8383" w:type="dxa"/>
            <w:tcBorders>
              <w:top w:val="nil"/>
              <w:left w:val="single" w:color="000000" w:sz="4" w:space="0"/>
              <w:bottom w:val="single" w:color="000000" w:sz="4" w:space="0"/>
              <w:right w:val="single" w:color="000000" w:sz="4" w:space="0"/>
            </w:tcBorders>
            <w:shd w:val="clear" w:color="auto" w:fill="auto"/>
            <w:vAlign w:val="center"/>
          </w:tcPr>
          <w:p w14:paraId="0310D3D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1、规格：2U机架式，国有品牌，自主研发，非OEM产品；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2、★CPU类型：配置2颗4314(2.4GHz/16-Core/24MB/135W)处理器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3、内存：最大配置32条 DDR4 内存，最大支持4TB，本次配置4条，单条32G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4、硬盘：本次配置2块2.5寸 960G SSD企业级硬盘，3块8T SATA 3.5英寸企业级硬盘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5、阵列卡：配置PM8222 支持RAID0.1.5.10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6、板载网卡：最大配置2个万兆以太网光口+4个千兆以太网电口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7、电源及外设：配置2冗余800W电源模块，机架安装导轨；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8、管理：支持简体中文版服务器管理软件，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8、维护：模块化免工具拆卸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10、服务：三年免费整机硬件保修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12、安全：支持TPM/TCM安全可信模块</w:t>
            </w:r>
          </w:p>
        </w:tc>
        <w:tc>
          <w:tcPr>
            <w:tcW w:w="716" w:type="dxa"/>
            <w:tcBorders>
              <w:top w:val="nil"/>
              <w:left w:val="single" w:color="000000" w:sz="4" w:space="0"/>
              <w:bottom w:val="single" w:color="000000" w:sz="4" w:space="0"/>
              <w:right w:val="single" w:color="000000" w:sz="4" w:space="0"/>
            </w:tcBorders>
            <w:shd w:val="clear" w:color="auto" w:fill="auto"/>
            <w:noWrap/>
            <w:vAlign w:val="center"/>
          </w:tcPr>
          <w:p w14:paraId="2B048A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83" w:type="dxa"/>
            <w:tcBorders>
              <w:top w:val="nil"/>
              <w:left w:val="single" w:color="000000" w:sz="4" w:space="0"/>
              <w:bottom w:val="single" w:color="000000" w:sz="4" w:space="0"/>
              <w:right w:val="single" w:color="000000" w:sz="4" w:space="0"/>
            </w:tcBorders>
            <w:shd w:val="clear" w:color="auto" w:fill="auto"/>
            <w:noWrap/>
            <w:vAlign w:val="center"/>
          </w:tcPr>
          <w:p w14:paraId="333A3A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89" w:type="dxa"/>
            <w:tcBorders>
              <w:top w:val="nil"/>
              <w:left w:val="single" w:color="000000" w:sz="4" w:space="0"/>
              <w:bottom w:val="single" w:color="000000" w:sz="4" w:space="0"/>
              <w:right w:val="single" w:color="000000" w:sz="4" w:space="0"/>
            </w:tcBorders>
            <w:shd w:val="clear" w:color="auto" w:fill="auto"/>
            <w:vAlign w:val="center"/>
          </w:tcPr>
          <w:p w14:paraId="1755BD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14:paraId="4D5C3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jc w:val="center"/>
        </w:trPr>
        <w:tc>
          <w:tcPr>
            <w:tcW w:w="450" w:type="dxa"/>
            <w:tcBorders>
              <w:top w:val="nil"/>
              <w:left w:val="single" w:color="000000" w:sz="4" w:space="0"/>
              <w:bottom w:val="single" w:color="000000" w:sz="4" w:space="0"/>
              <w:right w:val="single" w:color="000000" w:sz="4" w:space="0"/>
            </w:tcBorders>
            <w:shd w:val="clear" w:color="auto" w:fill="auto"/>
            <w:vAlign w:val="center"/>
          </w:tcPr>
          <w:p w14:paraId="19DAD8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66" w:type="dxa"/>
            <w:tcBorders>
              <w:top w:val="nil"/>
              <w:left w:val="single" w:color="000000" w:sz="4" w:space="0"/>
              <w:bottom w:val="single" w:color="000000" w:sz="4" w:space="0"/>
              <w:right w:val="single" w:color="000000" w:sz="4" w:space="0"/>
            </w:tcBorders>
            <w:shd w:val="clear" w:color="auto" w:fill="auto"/>
            <w:vAlign w:val="center"/>
          </w:tcPr>
          <w:p w14:paraId="4F6EE2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内网核心交换机</w:t>
            </w:r>
          </w:p>
        </w:tc>
        <w:tc>
          <w:tcPr>
            <w:tcW w:w="883" w:type="dxa"/>
            <w:tcBorders>
              <w:top w:val="nil"/>
              <w:left w:val="single" w:color="000000" w:sz="4" w:space="0"/>
              <w:bottom w:val="single" w:color="000000" w:sz="4" w:space="0"/>
              <w:right w:val="single" w:color="000000" w:sz="4" w:space="0"/>
            </w:tcBorders>
            <w:shd w:val="clear" w:color="auto" w:fill="auto"/>
            <w:vAlign w:val="center"/>
          </w:tcPr>
          <w:p w14:paraId="6E915C8E">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锐捷 RG-NBS6002</w:t>
            </w:r>
          </w:p>
        </w:tc>
        <w:tc>
          <w:tcPr>
            <w:tcW w:w="8383" w:type="dxa"/>
            <w:tcBorders>
              <w:top w:val="nil"/>
              <w:left w:val="single" w:color="000000" w:sz="4" w:space="0"/>
              <w:bottom w:val="single" w:color="000000" w:sz="4" w:space="0"/>
              <w:right w:val="single" w:color="000000" w:sz="4" w:space="0"/>
            </w:tcBorders>
            <w:shd w:val="clear" w:color="auto" w:fill="auto"/>
            <w:vAlign w:val="center"/>
          </w:tcPr>
          <w:p w14:paraId="2056E66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1、主机箱共2个业务线卡槽位，无引擎槽位，三层交换机，交换容量758Gbps，包转发速率252Mpps ，可支持4种板卡形态，最大支持48端口。支持静态路由、三层聚合、ACL、端口镜像等功能，支持APP和云平台统一管理，实配:24个千兆电口，24个千兆光口，4个万兆光口，两块150W交流电源。</w:t>
            </w:r>
          </w:p>
        </w:tc>
        <w:tc>
          <w:tcPr>
            <w:tcW w:w="716" w:type="dxa"/>
            <w:tcBorders>
              <w:top w:val="nil"/>
              <w:left w:val="single" w:color="000000" w:sz="4" w:space="0"/>
              <w:bottom w:val="single" w:color="000000" w:sz="4" w:space="0"/>
              <w:right w:val="single" w:color="000000" w:sz="4" w:space="0"/>
            </w:tcBorders>
            <w:shd w:val="clear" w:color="auto" w:fill="auto"/>
            <w:noWrap/>
            <w:vAlign w:val="center"/>
          </w:tcPr>
          <w:p w14:paraId="5FE50E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83" w:type="dxa"/>
            <w:tcBorders>
              <w:top w:val="nil"/>
              <w:left w:val="single" w:color="000000" w:sz="4" w:space="0"/>
              <w:bottom w:val="single" w:color="000000" w:sz="4" w:space="0"/>
              <w:right w:val="single" w:color="000000" w:sz="4" w:space="0"/>
            </w:tcBorders>
            <w:shd w:val="clear" w:color="auto" w:fill="auto"/>
            <w:noWrap/>
            <w:vAlign w:val="center"/>
          </w:tcPr>
          <w:p w14:paraId="41A1B6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89" w:type="dxa"/>
            <w:tcBorders>
              <w:top w:val="nil"/>
              <w:left w:val="single" w:color="000000" w:sz="4" w:space="0"/>
              <w:bottom w:val="single" w:color="000000" w:sz="4" w:space="0"/>
              <w:right w:val="single" w:color="000000" w:sz="4" w:space="0"/>
            </w:tcBorders>
            <w:shd w:val="clear" w:color="auto" w:fill="auto"/>
            <w:vAlign w:val="center"/>
          </w:tcPr>
          <w:p w14:paraId="38898B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14:paraId="01149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jc w:val="center"/>
        </w:trPr>
        <w:tc>
          <w:tcPr>
            <w:tcW w:w="450" w:type="dxa"/>
            <w:tcBorders>
              <w:top w:val="nil"/>
              <w:left w:val="single" w:color="000000" w:sz="4" w:space="0"/>
              <w:bottom w:val="single" w:color="000000" w:sz="4" w:space="0"/>
              <w:right w:val="single" w:color="000000" w:sz="4" w:space="0"/>
            </w:tcBorders>
            <w:shd w:val="clear" w:color="auto" w:fill="auto"/>
            <w:vAlign w:val="center"/>
          </w:tcPr>
          <w:p w14:paraId="12CBE5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766" w:type="dxa"/>
            <w:tcBorders>
              <w:top w:val="nil"/>
              <w:left w:val="single" w:color="000000" w:sz="4" w:space="0"/>
              <w:bottom w:val="single" w:color="000000" w:sz="4" w:space="0"/>
              <w:right w:val="single" w:color="000000" w:sz="4" w:space="0"/>
            </w:tcBorders>
            <w:shd w:val="clear" w:color="auto" w:fill="auto"/>
            <w:vAlign w:val="center"/>
          </w:tcPr>
          <w:p w14:paraId="31205B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服务器交换机</w:t>
            </w:r>
          </w:p>
        </w:tc>
        <w:tc>
          <w:tcPr>
            <w:tcW w:w="883" w:type="dxa"/>
            <w:tcBorders>
              <w:top w:val="nil"/>
              <w:left w:val="single" w:color="000000" w:sz="4" w:space="0"/>
              <w:bottom w:val="single" w:color="000000" w:sz="4" w:space="0"/>
              <w:right w:val="single" w:color="000000" w:sz="4" w:space="0"/>
            </w:tcBorders>
            <w:shd w:val="clear" w:color="auto" w:fill="auto"/>
            <w:vAlign w:val="center"/>
          </w:tcPr>
          <w:p w14:paraId="15CAFC71">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锐捷 RG-NBS6100-8MG24XS2QXS</w:t>
            </w:r>
          </w:p>
        </w:tc>
        <w:tc>
          <w:tcPr>
            <w:tcW w:w="8383" w:type="dxa"/>
            <w:tcBorders>
              <w:top w:val="nil"/>
              <w:left w:val="single" w:color="000000" w:sz="4" w:space="0"/>
              <w:bottom w:val="single" w:color="000000" w:sz="4" w:space="0"/>
              <w:right w:val="single" w:color="000000" w:sz="4" w:space="0"/>
            </w:tcBorders>
            <w:shd w:val="clear" w:color="auto" w:fill="auto"/>
            <w:vAlign w:val="center"/>
          </w:tcPr>
          <w:p w14:paraId="228AFB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1、三层网管交换机，交换容量2.56Tbps，包转发率720Mpps，8个10/100/1000/2500Mbps自适应电口，24个SFP+万兆光口，2个40G QSFP+光口，2个模块化电源插槽,配一块150W交流电源。</w:t>
            </w:r>
          </w:p>
        </w:tc>
        <w:tc>
          <w:tcPr>
            <w:tcW w:w="716" w:type="dxa"/>
            <w:tcBorders>
              <w:top w:val="nil"/>
              <w:left w:val="single" w:color="000000" w:sz="4" w:space="0"/>
              <w:bottom w:val="single" w:color="000000" w:sz="4" w:space="0"/>
              <w:right w:val="single" w:color="000000" w:sz="4" w:space="0"/>
            </w:tcBorders>
            <w:shd w:val="clear" w:color="auto" w:fill="auto"/>
            <w:noWrap/>
            <w:vAlign w:val="center"/>
          </w:tcPr>
          <w:p w14:paraId="7D1F7A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83" w:type="dxa"/>
            <w:tcBorders>
              <w:top w:val="nil"/>
              <w:left w:val="single" w:color="000000" w:sz="4" w:space="0"/>
              <w:bottom w:val="single" w:color="000000" w:sz="4" w:space="0"/>
              <w:right w:val="single" w:color="000000" w:sz="4" w:space="0"/>
            </w:tcBorders>
            <w:shd w:val="clear" w:color="auto" w:fill="auto"/>
            <w:noWrap/>
            <w:vAlign w:val="center"/>
          </w:tcPr>
          <w:p w14:paraId="603C7C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89" w:type="dxa"/>
            <w:tcBorders>
              <w:top w:val="nil"/>
              <w:left w:val="single" w:color="000000" w:sz="4" w:space="0"/>
              <w:bottom w:val="single" w:color="000000" w:sz="4" w:space="0"/>
              <w:right w:val="single" w:color="000000" w:sz="4" w:space="0"/>
            </w:tcBorders>
            <w:shd w:val="clear" w:color="auto" w:fill="auto"/>
            <w:vAlign w:val="center"/>
          </w:tcPr>
          <w:p w14:paraId="0D6004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14:paraId="275F4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jc w:val="center"/>
        </w:trPr>
        <w:tc>
          <w:tcPr>
            <w:tcW w:w="450" w:type="dxa"/>
            <w:tcBorders>
              <w:top w:val="nil"/>
              <w:left w:val="single" w:color="000000" w:sz="4" w:space="0"/>
              <w:bottom w:val="single" w:color="000000" w:sz="4" w:space="0"/>
              <w:right w:val="single" w:color="000000" w:sz="4" w:space="0"/>
            </w:tcBorders>
            <w:shd w:val="clear" w:color="auto" w:fill="auto"/>
            <w:vAlign w:val="center"/>
          </w:tcPr>
          <w:p w14:paraId="4671EF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766" w:type="dxa"/>
            <w:tcBorders>
              <w:top w:val="nil"/>
              <w:left w:val="single" w:color="000000" w:sz="4" w:space="0"/>
              <w:bottom w:val="single" w:color="000000" w:sz="4" w:space="0"/>
              <w:right w:val="single" w:color="000000" w:sz="4" w:space="0"/>
            </w:tcBorders>
            <w:shd w:val="clear" w:color="auto" w:fill="auto"/>
            <w:vAlign w:val="center"/>
          </w:tcPr>
          <w:p w14:paraId="7B26E4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汇聚接入交换机</w:t>
            </w:r>
          </w:p>
        </w:tc>
        <w:tc>
          <w:tcPr>
            <w:tcW w:w="883" w:type="dxa"/>
            <w:tcBorders>
              <w:top w:val="nil"/>
              <w:left w:val="single" w:color="000000" w:sz="4" w:space="0"/>
              <w:bottom w:val="single" w:color="000000" w:sz="4" w:space="0"/>
              <w:right w:val="single" w:color="000000" w:sz="4" w:space="0"/>
            </w:tcBorders>
            <w:shd w:val="clear" w:color="auto" w:fill="auto"/>
            <w:vAlign w:val="center"/>
          </w:tcPr>
          <w:p w14:paraId="0AECBAE4">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锐捷 RG-NBS5200-48GT4XS</w:t>
            </w:r>
          </w:p>
        </w:tc>
        <w:tc>
          <w:tcPr>
            <w:tcW w:w="8383" w:type="dxa"/>
            <w:tcBorders>
              <w:top w:val="nil"/>
              <w:left w:val="single" w:color="000000" w:sz="4" w:space="0"/>
              <w:bottom w:val="single" w:color="000000" w:sz="4" w:space="0"/>
              <w:right w:val="single" w:color="000000" w:sz="4" w:space="0"/>
            </w:tcBorders>
            <w:shd w:val="clear" w:color="auto" w:fill="auto"/>
            <w:vAlign w:val="center"/>
          </w:tcPr>
          <w:p w14:paraId="72B909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1、三层网管交换机，交换容量758Gbps/7.58Tbps，包转发率148Mpps/222Mpps，48个10/100/1000Mbps自适应电口交换机，固化4个SFP+万兆光口，支持静态路由、三层聚合、ACL、端口镜像等功能，支持APP和云平台统一管理。</w:t>
            </w:r>
          </w:p>
        </w:tc>
        <w:tc>
          <w:tcPr>
            <w:tcW w:w="716" w:type="dxa"/>
            <w:tcBorders>
              <w:top w:val="nil"/>
              <w:left w:val="single" w:color="000000" w:sz="4" w:space="0"/>
              <w:bottom w:val="single" w:color="000000" w:sz="4" w:space="0"/>
              <w:right w:val="single" w:color="000000" w:sz="4" w:space="0"/>
            </w:tcBorders>
            <w:shd w:val="clear" w:color="auto" w:fill="auto"/>
            <w:noWrap/>
            <w:vAlign w:val="center"/>
          </w:tcPr>
          <w:p w14:paraId="5D8AE5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83" w:type="dxa"/>
            <w:tcBorders>
              <w:top w:val="nil"/>
              <w:left w:val="single" w:color="000000" w:sz="4" w:space="0"/>
              <w:bottom w:val="single" w:color="000000" w:sz="4" w:space="0"/>
              <w:right w:val="single" w:color="000000" w:sz="4" w:space="0"/>
            </w:tcBorders>
            <w:shd w:val="clear" w:color="auto" w:fill="auto"/>
            <w:noWrap/>
            <w:vAlign w:val="center"/>
          </w:tcPr>
          <w:p w14:paraId="1B7808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89" w:type="dxa"/>
            <w:tcBorders>
              <w:top w:val="nil"/>
              <w:left w:val="single" w:color="000000" w:sz="4" w:space="0"/>
              <w:bottom w:val="single" w:color="000000" w:sz="4" w:space="0"/>
              <w:right w:val="single" w:color="000000" w:sz="4" w:space="0"/>
            </w:tcBorders>
            <w:shd w:val="clear" w:color="auto" w:fill="auto"/>
            <w:vAlign w:val="center"/>
          </w:tcPr>
          <w:p w14:paraId="4C6D6E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14:paraId="2C2FC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jc w:val="center"/>
        </w:trPr>
        <w:tc>
          <w:tcPr>
            <w:tcW w:w="450" w:type="dxa"/>
            <w:tcBorders>
              <w:top w:val="nil"/>
              <w:left w:val="single" w:color="000000" w:sz="4" w:space="0"/>
              <w:bottom w:val="single" w:color="000000" w:sz="4" w:space="0"/>
              <w:right w:val="single" w:color="000000" w:sz="4" w:space="0"/>
            </w:tcBorders>
            <w:shd w:val="clear" w:color="auto" w:fill="auto"/>
            <w:vAlign w:val="center"/>
          </w:tcPr>
          <w:p w14:paraId="6F8BD8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766" w:type="dxa"/>
            <w:tcBorders>
              <w:top w:val="nil"/>
              <w:left w:val="single" w:color="000000" w:sz="4" w:space="0"/>
              <w:bottom w:val="single" w:color="000000" w:sz="4" w:space="0"/>
              <w:right w:val="single" w:color="000000" w:sz="4" w:space="0"/>
            </w:tcBorders>
            <w:shd w:val="clear" w:color="auto" w:fill="auto"/>
            <w:vAlign w:val="center"/>
          </w:tcPr>
          <w:p w14:paraId="634981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其他配套</w:t>
            </w:r>
          </w:p>
        </w:tc>
        <w:tc>
          <w:tcPr>
            <w:tcW w:w="883" w:type="dxa"/>
            <w:tcBorders>
              <w:top w:val="nil"/>
              <w:left w:val="single" w:color="000000" w:sz="4" w:space="0"/>
              <w:bottom w:val="single" w:color="000000" w:sz="4" w:space="0"/>
              <w:right w:val="single" w:color="000000" w:sz="4" w:space="0"/>
            </w:tcBorders>
            <w:shd w:val="clear" w:color="auto" w:fill="auto"/>
            <w:vAlign w:val="center"/>
          </w:tcPr>
          <w:p w14:paraId="640C3A43">
            <w:pPr>
              <w:jc w:val="center"/>
              <w:rPr>
                <w:rFonts w:hint="eastAsia" w:ascii="宋体" w:hAnsi="宋体" w:eastAsia="宋体" w:cs="宋体"/>
                <w:i w:val="0"/>
                <w:iCs w:val="0"/>
                <w:color w:val="000000"/>
                <w:sz w:val="20"/>
                <w:szCs w:val="20"/>
                <w:u w:val="none"/>
                <w:lang w:val="en-US" w:eastAsia="zh-Hans"/>
              </w:rPr>
            </w:pPr>
            <w:r>
              <w:rPr>
                <w:rFonts w:hint="eastAsia" w:ascii="宋体" w:hAnsi="宋体" w:eastAsia="宋体" w:cs="宋体"/>
                <w:i w:val="0"/>
                <w:iCs w:val="0"/>
                <w:color w:val="000000"/>
                <w:sz w:val="20"/>
                <w:szCs w:val="20"/>
                <w:u w:val="none"/>
                <w:lang w:val="en-US" w:eastAsia="zh-Hans"/>
              </w:rPr>
              <w:t>定制</w:t>
            </w:r>
          </w:p>
        </w:tc>
        <w:tc>
          <w:tcPr>
            <w:tcW w:w="8383" w:type="dxa"/>
            <w:tcBorders>
              <w:top w:val="nil"/>
              <w:left w:val="single" w:color="000000" w:sz="4" w:space="0"/>
              <w:bottom w:val="single" w:color="000000" w:sz="4" w:space="0"/>
              <w:right w:val="single" w:color="000000" w:sz="4" w:space="0"/>
            </w:tcBorders>
            <w:shd w:val="clear" w:color="auto" w:fill="auto"/>
            <w:vAlign w:val="center"/>
          </w:tcPr>
          <w:p w14:paraId="04BC391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服务器机柜、万兆多模光模块、万兆跳纤、六类成品网络跳线、PDU、标签、扎带等。</w:t>
            </w:r>
          </w:p>
        </w:tc>
        <w:tc>
          <w:tcPr>
            <w:tcW w:w="716" w:type="dxa"/>
            <w:tcBorders>
              <w:top w:val="nil"/>
              <w:left w:val="single" w:color="000000" w:sz="4" w:space="0"/>
              <w:bottom w:val="single" w:color="000000" w:sz="4" w:space="0"/>
              <w:right w:val="single" w:color="000000" w:sz="4" w:space="0"/>
            </w:tcBorders>
            <w:shd w:val="clear" w:color="auto" w:fill="auto"/>
            <w:noWrap/>
            <w:vAlign w:val="center"/>
          </w:tcPr>
          <w:p w14:paraId="208188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批</w:t>
            </w:r>
          </w:p>
        </w:tc>
        <w:tc>
          <w:tcPr>
            <w:tcW w:w="783" w:type="dxa"/>
            <w:tcBorders>
              <w:top w:val="nil"/>
              <w:left w:val="single" w:color="000000" w:sz="4" w:space="0"/>
              <w:bottom w:val="single" w:color="000000" w:sz="4" w:space="0"/>
              <w:right w:val="single" w:color="000000" w:sz="4" w:space="0"/>
            </w:tcBorders>
            <w:shd w:val="clear" w:color="auto" w:fill="auto"/>
            <w:noWrap/>
            <w:vAlign w:val="center"/>
          </w:tcPr>
          <w:p w14:paraId="5FD14C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89" w:type="dxa"/>
            <w:tcBorders>
              <w:top w:val="nil"/>
              <w:left w:val="single" w:color="000000" w:sz="4" w:space="0"/>
              <w:bottom w:val="single" w:color="000000" w:sz="4" w:space="0"/>
              <w:right w:val="single" w:color="000000" w:sz="4" w:space="0"/>
            </w:tcBorders>
            <w:shd w:val="clear" w:color="auto" w:fill="auto"/>
            <w:vAlign w:val="center"/>
          </w:tcPr>
          <w:p w14:paraId="61ACCD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满足客户需求</w:t>
            </w:r>
          </w:p>
        </w:tc>
      </w:tr>
      <w:tr w14:paraId="3FE0C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jc w:val="center"/>
        </w:trPr>
        <w:tc>
          <w:tcPr>
            <w:tcW w:w="450" w:type="dxa"/>
            <w:tcBorders>
              <w:top w:val="nil"/>
              <w:left w:val="single" w:color="000000" w:sz="4" w:space="0"/>
              <w:bottom w:val="single" w:color="000000" w:sz="4" w:space="0"/>
              <w:right w:val="single" w:color="000000" w:sz="4" w:space="0"/>
            </w:tcBorders>
            <w:shd w:val="clear" w:color="auto" w:fill="auto"/>
            <w:vAlign w:val="center"/>
          </w:tcPr>
          <w:p w14:paraId="1C7AE6AA">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eastAsia="zh-CN" w:bidi="ar"/>
              </w:rPr>
              <w:t>1</w:t>
            </w:r>
            <w:r>
              <w:rPr>
                <w:rFonts w:hint="eastAsia" w:ascii="宋体" w:hAnsi="宋体" w:eastAsia="宋体" w:cs="宋体"/>
                <w:i w:val="0"/>
                <w:iCs w:val="0"/>
                <w:color w:val="000000"/>
                <w:kern w:val="0"/>
                <w:sz w:val="20"/>
                <w:szCs w:val="20"/>
                <w:u w:val="none"/>
                <w:lang w:val="en-US" w:eastAsia="zh-CN" w:bidi="ar"/>
              </w:rPr>
              <w:t>0</w:t>
            </w:r>
            <w:bookmarkStart w:id="0" w:name="_GoBack"/>
            <w:bookmarkEnd w:id="0"/>
          </w:p>
        </w:tc>
        <w:tc>
          <w:tcPr>
            <w:tcW w:w="766" w:type="dxa"/>
            <w:tcBorders>
              <w:top w:val="nil"/>
              <w:left w:val="single" w:color="000000" w:sz="4" w:space="0"/>
              <w:bottom w:val="single" w:color="000000" w:sz="4" w:space="0"/>
              <w:right w:val="single" w:color="000000" w:sz="4" w:space="0"/>
            </w:tcBorders>
            <w:shd w:val="clear" w:color="auto" w:fill="auto"/>
            <w:vAlign w:val="center"/>
          </w:tcPr>
          <w:p w14:paraId="5C9E68BE">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Hans" w:bidi="ar"/>
              </w:rPr>
            </w:pPr>
            <w:r>
              <w:rPr>
                <w:rFonts w:hint="eastAsia" w:ascii="宋体" w:hAnsi="宋体" w:eastAsia="宋体" w:cs="宋体"/>
                <w:i w:val="0"/>
                <w:iCs w:val="0"/>
                <w:color w:val="000000"/>
                <w:kern w:val="0"/>
                <w:sz w:val="20"/>
                <w:szCs w:val="20"/>
                <w:u w:val="none"/>
                <w:lang w:val="en-US" w:eastAsia="zh-Hans" w:bidi="ar"/>
              </w:rPr>
              <w:t>视频服务器</w:t>
            </w:r>
          </w:p>
        </w:tc>
        <w:tc>
          <w:tcPr>
            <w:tcW w:w="883" w:type="dxa"/>
            <w:tcBorders>
              <w:top w:val="nil"/>
              <w:left w:val="single" w:color="000000" w:sz="4" w:space="0"/>
              <w:bottom w:val="single" w:color="000000" w:sz="4" w:space="0"/>
              <w:right w:val="single" w:color="000000" w:sz="4" w:space="0"/>
            </w:tcBorders>
            <w:shd w:val="clear" w:color="auto" w:fill="auto"/>
            <w:vAlign w:val="center"/>
          </w:tcPr>
          <w:p w14:paraId="0494929E">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海康威视 DS-VM22R-CL/R2</w:t>
            </w:r>
          </w:p>
        </w:tc>
        <w:tc>
          <w:tcPr>
            <w:tcW w:w="8383" w:type="dxa"/>
            <w:tcBorders>
              <w:top w:val="nil"/>
              <w:left w:val="single" w:color="000000" w:sz="4" w:space="0"/>
              <w:bottom w:val="single" w:color="000000" w:sz="4" w:space="0"/>
              <w:right w:val="single" w:color="000000" w:sz="4" w:space="0"/>
            </w:tcBorders>
            <w:shd w:val="clear" w:color="auto" w:fill="auto"/>
            <w:vAlign w:val="center"/>
          </w:tcPr>
          <w:p w14:paraId="4541D54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CPU：配置2颗 C86架构HYGON 3350处理器，单处理器物理核心数≥8核，主频≥3.0 GHz，末级缓存容量≥16 MB，线程数≥16线程，支持内存的最高速率≥3200 MHz，通道数≥2，位宽≥64；</w:t>
            </w:r>
          </w:p>
          <w:p w14:paraId="697AFA2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内存：配置64G DDR4，8根内存插槽，最大可支持扩展至1TB；</w:t>
            </w:r>
          </w:p>
          <w:p w14:paraId="19D68BE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硬盘：2块600G 10K SAS硬盘（Raid1），前置最大可选支持12块3.5寸(兼容2.5寸)热插拔SATA/SAS硬盘，后置最大可选支持2块2.5寸热插拔SATA/SAS硬盘，内置最大可选支持2块2.5寸非热插拔SATA SSD硬盘，板载最大可选支持1个SATA M.2硬盘</w:t>
            </w:r>
          </w:p>
          <w:p w14:paraId="0D8FF68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阵列卡：配置SAS_HBA卡（支持RAID 0/1/10）</w:t>
            </w:r>
          </w:p>
          <w:p w14:paraId="4F18A0F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PCIE扩展：最大支持4个标准PCIE插槽；</w:t>
            </w:r>
          </w:p>
          <w:p w14:paraId="7D86114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网口：标配板载2个千兆电口和2个PCIE千兆电口，可选配置2个万兆网口，支持选配10GbE SFP+等多种网络接口</w:t>
            </w:r>
          </w:p>
          <w:p w14:paraId="71E040B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其他接口：标配1个IPMI RJ-45管理接口，位于机箱后部；7个USB 3.0接口 4个位于机箱后部，2个位于机箱前部，1个位于机箱内部；2个VGA接口 1个位于机箱前部，1个位于机箱后部；</w:t>
            </w:r>
          </w:p>
          <w:p w14:paraId="1D8AB02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一、视频预览</w:t>
            </w:r>
          </w:p>
          <w:p w14:paraId="623B0A3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1、支持视频实时预览能力，实现预览窗口布局切换、预览画面自适应及全屏切换；</w:t>
            </w:r>
          </w:p>
          <w:p w14:paraId="4F97330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2、支持云台控制、实时抓图、紧急录像、即时回放、主子码流切换、声音开启\关闭、辅屏预览（1个辅屏）、对讲、广播、报警输出控制的能力；</w:t>
            </w:r>
          </w:p>
          <w:p w14:paraId="6BD20A4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3、支持智能规则展示的能力（如：针对热成像设备温度信息实时展示）；</w:t>
            </w:r>
          </w:p>
          <w:p w14:paraId="6B69F79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4、支持资源视图管理能力，以视图形式管理监控点、视频预览轮巡等自定义资源组，其中视图类型包含公有视图和私有视图；</w:t>
            </w:r>
          </w:p>
          <w:p w14:paraId="4F61E9E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5、支持全景视频监控预览能力，支持球型鹰眼、全景摄像机的全景模式；</w:t>
            </w:r>
          </w:p>
          <w:p w14:paraId="7AA992E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二、视频上墙</w:t>
            </w:r>
          </w:p>
          <w:p w14:paraId="5BB04B0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1、支持电视墙场景管理能力，实现场景窗口配置、场景切换计划配置以及轮巡计划的管理；</w:t>
            </w:r>
          </w:p>
          <w:p w14:paraId="4A12A9B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2、支持上墙控制能力，实现场景一键上墙、场景切换、电视墙切换、监控点上下墙、轮巡控制操作；</w:t>
            </w:r>
          </w:p>
          <w:p w14:paraId="3BED3BA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三、视频事件</w:t>
            </w:r>
          </w:p>
          <w:p w14:paraId="32B88AC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1、支持视频事件布撤防能力，可按计划模版进行布防，事件类型包括移动侦测、视频丢失、视频遮挡、报警输入、报警输出；</w:t>
            </w:r>
          </w:p>
        </w:tc>
        <w:tc>
          <w:tcPr>
            <w:tcW w:w="716" w:type="dxa"/>
            <w:tcBorders>
              <w:top w:val="nil"/>
              <w:left w:val="single" w:color="000000" w:sz="4" w:space="0"/>
              <w:bottom w:val="single" w:color="000000" w:sz="4" w:space="0"/>
              <w:right w:val="single" w:color="000000" w:sz="4" w:space="0"/>
            </w:tcBorders>
            <w:shd w:val="clear" w:color="auto" w:fill="auto"/>
            <w:noWrap/>
            <w:vAlign w:val="center"/>
          </w:tcPr>
          <w:p w14:paraId="3A8375D7">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Hans" w:bidi="ar"/>
              </w:rPr>
            </w:pPr>
            <w:r>
              <w:rPr>
                <w:rFonts w:hint="eastAsia" w:ascii="宋体" w:hAnsi="宋体" w:eastAsia="宋体" w:cs="宋体"/>
                <w:i w:val="0"/>
                <w:iCs w:val="0"/>
                <w:color w:val="000000"/>
                <w:kern w:val="0"/>
                <w:sz w:val="20"/>
                <w:szCs w:val="20"/>
                <w:u w:val="none"/>
                <w:lang w:val="en-US" w:eastAsia="zh-Hans" w:bidi="ar"/>
              </w:rPr>
              <w:t>台</w:t>
            </w:r>
          </w:p>
        </w:tc>
        <w:tc>
          <w:tcPr>
            <w:tcW w:w="783" w:type="dxa"/>
            <w:tcBorders>
              <w:top w:val="nil"/>
              <w:left w:val="single" w:color="000000" w:sz="4" w:space="0"/>
              <w:bottom w:val="single" w:color="000000" w:sz="4" w:space="0"/>
              <w:right w:val="single" w:color="000000" w:sz="4" w:space="0"/>
            </w:tcBorders>
            <w:shd w:val="clear" w:color="auto" w:fill="auto"/>
            <w:noWrap/>
            <w:vAlign w:val="center"/>
          </w:tcPr>
          <w:p w14:paraId="70F3D40C">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eastAsia="zh-CN" w:bidi="ar"/>
              </w:rPr>
            </w:pPr>
            <w:r>
              <w:rPr>
                <w:rFonts w:hint="default" w:ascii="宋体" w:hAnsi="宋体" w:eastAsia="宋体" w:cs="宋体"/>
                <w:i w:val="0"/>
                <w:iCs w:val="0"/>
                <w:color w:val="000000"/>
                <w:kern w:val="0"/>
                <w:sz w:val="20"/>
                <w:szCs w:val="20"/>
                <w:u w:val="none"/>
                <w:lang w:eastAsia="zh-CN" w:bidi="ar"/>
              </w:rPr>
              <w:t>1</w:t>
            </w:r>
          </w:p>
        </w:tc>
        <w:tc>
          <w:tcPr>
            <w:tcW w:w="889" w:type="dxa"/>
            <w:tcBorders>
              <w:top w:val="nil"/>
              <w:left w:val="single" w:color="000000" w:sz="4" w:space="0"/>
              <w:bottom w:val="single" w:color="000000" w:sz="4" w:space="0"/>
              <w:right w:val="single" w:color="000000" w:sz="4" w:space="0"/>
            </w:tcBorders>
            <w:shd w:val="clear" w:color="auto" w:fill="auto"/>
            <w:vAlign w:val="center"/>
          </w:tcPr>
          <w:p w14:paraId="2FAD0B1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服务内容不少于硬盘录像机75台共计约300个摄像头授权接入）包含硬件、软件平台、接入授权等。</w:t>
            </w:r>
          </w:p>
        </w:tc>
      </w:tr>
    </w:tbl>
    <w:p w14:paraId="5F09A358">
      <w:pPr>
        <w:rPr>
          <w:rFonts w:hint="default"/>
          <w:lang w:val="en-US" w:eastAsia="zh-Hans"/>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C96F6E"/>
    <w:rsid w:val="11F868CE"/>
    <w:rsid w:val="1F9A1716"/>
    <w:rsid w:val="2EF81BB1"/>
    <w:rsid w:val="583B5266"/>
    <w:rsid w:val="584A4EDF"/>
    <w:rsid w:val="72FF34C8"/>
    <w:rsid w:val="74F32D4A"/>
    <w:rsid w:val="7EF753F5"/>
    <w:rsid w:val="F2FAF11A"/>
    <w:rsid w:val="F45F67B8"/>
    <w:rsid w:val="FFBFD314"/>
    <w:rsid w:val="FFC96F6E"/>
    <w:rsid w:val="FFE7E563"/>
    <w:rsid w:val="FFEFA5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4375</Words>
  <Characters>5276</Characters>
  <Lines>0</Lines>
  <Paragraphs>0</Paragraphs>
  <TotalTime>1</TotalTime>
  <ScaleCrop>false</ScaleCrop>
  <LinksUpToDate>false</LinksUpToDate>
  <CharactersWithSpaces>5325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2026-07-18T08:13:00Z</dcterms:created>
  <dc:creator>陈昊</dc:creator>
  <cp:lastModifiedBy>周郑</cp:lastModifiedBy>
  <dcterms:modified xsi:type="dcterms:W3CDTF">2026-08-24T08:38:43Z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C3572E9DF7654644B293F6B0C0A98265_13</vt:lpwstr>
  </property>
  <property fmtid="{D5CDD505-2E9C-101B-9397-08002B2CF9AE}" pid="4" name="KSOTemplateDocerSaveRecord">
    <vt:lpwstr>eyJoZGlkIjoiZGRhNDI2OTRlYTlkZTE4ZTlkYTJiYjNiOGI0ZmY0YTciLCJ1c2VySWQiOiIxNzM2NDA4NDU4In0=</vt:lpwstr>
  </property>
</Properties>
</file>