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85455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220kV洪泽输变电工程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竣工验收</w:t>
      </w:r>
    </w:p>
    <w:p w14:paraId="6B41ECC3">
      <w:pPr>
        <w:ind w:left="0" w:leftChars="0" w:firstLine="0" w:firstLineChars="0"/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技术服务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项目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采购比选综合评分办法</w:t>
      </w:r>
    </w:p>
    <w:p w14:paraId="7FD4E438">
      <w:pPr>
        <w:ind w:left="0" w:leftChars="0" w:firstLine="0" w:firstLineChars="0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6AB1202C">
      <w:pPr>
        <w:jc w:val="both"/>
        <w:rPr>
          <w:rFonts w:hint="eastAsia" w:ascii="楷体_GB2312" w:hAnsi="楷体_GB2312" w:eastAsia="楷体_GB2312" w:cs="楷体_GB2312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一、资格性审查</w:t>
      </w:r>
    </w:p>
    <w:p w14:paraId="4127B43C">
      <w:pPr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所有参选单位须先通过资格性审查，全部满足以下条件方可进入后续评分环节：</w:t>
      </w:r>
    </w:p>
    <w:p w14:paraId="2E0B6CB7">
      <w:pPr>
        <w:keepNext w:val="0"/>
        <w:keepLines w:val="0"/>
        <w:pageBreakBefore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sz w:val="32"/>
          <w:szCs w:val="32"/>
        </w:rPr>
        <w:t>(一)资质要求</w:t>
      </w:r>
    </w:p>
    <w:p w14:paraId="4743F806">
      <w:pPr>
        <w:keepNext w:val="0"/>
        <w:keepLines w:val="0"/>
        <w:pageBreakBefore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响应人应具有独立的法人资质及有效的企业法人营业执照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 w14:paraId="1277846A">
      <w:pPr>
        <w:keepNext w:val="0"/>
        <w:keepLines w:val="0"/>
        <w:pageBreakBefore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2. 项目负责人应具有电力工程相关专业高级职称，不少于1名；项目主要验收技术人员具有电力工程相关专业中级职称，不少于2名；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 xml:space="preserve">    3. 项目其他验收技术人员应具有有效期内的特种作业操作证（作业类别为电工作业），人员不少于4名，其中高压电工作业至少1名、低压电工作业至少1名、继电保护作业至少1名、电气试验作业至少1名。</w:t>
      </w:r>
    </w:p>
    <w:p w14:paraId="63E2E06D">
      <w:pPr>
        <w:keepNext w:val="0"/>
        <w:keepLines w:val="0"/>
        <w:pageBreakBefore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(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二</w:t>
      </w:r>
      <w:r>
        <w:rPr>
          <w:rFonts w:hint="eastAsia" w:ascii="楷体" w:hAnsi="楷体" w:eastAsia="楷体" w:cs="楷体"/>
          <w:sz w:val="32"/>
          <w:szCs w:val="32"/>
        </w:rPr>
        <w:t>)信誉要求</w:t>
      </w:r>
    </w:p>
    <w:p w14:paraId="1F4C9C38">
      <w:pPr>
        <w:keepNext w:val="0"/>
        <w:keepLines w:val="0"/>
        <w:pageBreakBefore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供应商需提供在“中国执行信息公开网”网站(https://zxgk.court.gov.cn/shixin)查询相关主体(含供应商、法定代表人)未列入失信被执行人查询信息，若被列入失信被执行人名单，拒绝其参与本次采购活动，其响应无效。</w:t>
      </w:r>
    </w:p>
    <w:p w14:paraId="669DD011">
      <w:pPr>
        <w:keepNext w:val="0"/>
        <w:keepLines w:val="0"/>
        <w:pageBreakBefore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2.对于供应商查询过程中输入信息或查询路径不准确等的，可由采购人在评审会议当天进行查询复核并留档，以查询复核结果为准。</w:t>
      </w:r>
    </w:p>
    <w:p w14:paraId="233DF053">
      <w:pPr>
        <w:keepNext w:val="0"/>
        <w:keepLines w:val="0"/>
        <w:pageBreakBefore w:val="0"/>
        <w:kinsoku w:val="0"/>
        <w:wordWrap/>
        <w:overflowPunct w:val="0"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本项目采取资格后审，资格审查不合格的供应商的响应文件将按无效标处理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31F5DFD9">
      <w:pPr>
        <w:jc w:val="both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二、评分因素及权重</w:t>
      </w:r>
    </w:p>
    <w:p w14:paraId="0DFEB3B9">
      <w:pPr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本次比选实行百分制综合评分，总分 100 分，评分因素及权重如下：</w:t>
      </w:r>
    </w:p>
    <w:tbl>
      <w:tblPr>
        <w:tblStyle w:val="1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69"/>
        <w:gridCol w:w="1569"/>
        <w:gridCol w:w="5867"/>
      </w:tblGrid>
      <w:tr w14:paraId="56D60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871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A9DE4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  <w:t>评分部分</w:t>
            </w:r>
          </w:p>
        </w:tc>
        <w:tc>
          <w:tcPr>
            <w:tcW w:w="871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E3FA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  <w:t>权重分值</w:t>
            </w:r>
          </w:p>
        </w:tc>
        <w:tc>
          <w:tcPr>
            <w:tcW w:w="3256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18637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  <w:t>核心评审方向</w:t>
            </w:r>
          </w:p>
        </w:tc>
      </w:tr>
      <w:tr w14:paraId="415DC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71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95EC1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  <w:t>综合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  <w:t>部分</w:t>
            </w:r>
          </w:p>
        </w:tc>
        <w:tc>
          <w:tcPr>
            <w:tcW w:w="871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9F743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  <w:t>25 分</w:t>
            </w:r>
          </w:p>
        </w:tc>
        <w:tc>
          <w:tcPr>
            <w:tcW w:w="3256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A22B0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  <w:t>企业资质、项目负责人能力</w:t>
            </w:r>
          </w:p>
        </w:tc>
      </w:tr>
      <w:tr w14:paraId="3C050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71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7756E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  <w:t>技术部分</w:t>
            </w:r>
          </w:p>
        </w:tc>
        <w:tc>
          <w:tcPr>
            <w:tcW w:w="871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6D386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  <w:t>55 分</w:t>
            </w:r>
          </w:p>
        </w:tc>
        <w:tc>
          <w:tcPr>
            <w:tcW w:w="3256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E9F52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  <w:t>验收方案专业性、各专业验收能力、质量管控、进度安全保障</w:t>
            </w:r>
          </w:p>
        </w:tc>
      </w:tr>
      <w:tr w14:paraId="5FB1C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71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BE35F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  <w:t>商务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  <w:t>部分</w:t>
            </w:r>
          </w:p>
        </w:tc>
        <w:tc>
          <w:tcPr>
            <w:tcW w:w="871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4C316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  <w:t>20 分</w:t>
            </w:r>
          </w:p>
        </w:tc>
        <w:tc>
          <w:tcPr>
            <w:tcW w:w="3256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090F9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  <w:t>报价合理性、低价优先</w:t>
            </w:r>
          </w:p>
        </w:tc>
      </w:tr>
    </w:tbl>
    <w:p w14:paraId="375781D2">
      <w:pPr>
        <w:ind w:left="0" w:leftChars="0" w:firstLine="640" w:firstLineChars="200"/>
        <w:jc w:val="both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三、详细评分标准</w:t>
      </w:r>
    </w:p>
    <w:p w14:paraId="1FAA32B1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（一）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综合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部分（25 分）</w:t>
      </w:r>
    </w:p>
    <w:tbl>
      <w:tblPr>
        <w:tblStyle w:val="14"/>
        <w:tblW w:w="9061" w:type="dxa"/>
        <w:jc w:val="center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80"/>
        <w:gridCol w:w="898"/>
        <w:gridCol w:w="5783"/>
      </w:tblGrid>
      <w:tr w14:paraId="3964CBA7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380" w:type="dxa"/>
            <w:tcBorders>
              <w:tl2br w:val="nil"/>
              <w:tr2bl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4D47C0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  <w:t>评分项</w:t>
            </w:r>
          </w:p>
        </w:tc>
        <w:tc>
          <w:tcPr>
            <w:tcW w:w="898" w:type="dxa"/>
            <w:tcBorders>
              <w:tl2br w:val="nil"/>
              <w:tr2bl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9786E0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  <w:t>分值</w:t>
            </w:r>
          </w:p>
        </w:tc>
        <w:tc>
          <w:tcPr>
            <w:tcW w:w="5783" w:type="dxa"/>
            <w:tcBorders>
              <w:tl2br w:val="nil"/>
              <w:tr2bl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F21759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  <w:t>评分标准</w:t>
            </w:r>
          </w:p>
        </w:tc>
      </w:tr>
      <w:tr w14:paraId="2FBA29C5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380" w:type="dxa"/>
            <w:tcBorders>
              <w:tl2br w:val="nil"/>
              <w:tr2bl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03512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  <w:t>企业资质能力</w:t>
            </w:r>
          </w:p>
        </w:tc>
        <w:tc>
          <w:tcPr>
            <w:tcW w:w="898" w:type="dxa"/>
            <w:tcBorders>
              <w:tl2br w:val="nil"/>
              <w:tr2bl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6BDC3D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  <w:t>9分</w:t>
            </w:r>
          </w:p>
        </w:tc>
        <w:tc>
          <w:tcPr>
            <w:tcW w:w="5783" w:type="dxa"/>
            <w:tcBorders>
              <w:tl2br w:val="nil"/>
              <w:tr2bl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B5D05B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  <w:t>1. 电力工程施工总承包贰级及以上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 w:bidi="ar"/>
              </w:rPr>
              <w:t>得1分，叁级得0.5分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  <w:t>、机电工程施工总承包贰级及以上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 w:bidi="ar"/>
              </w:rPr>
              <w:t>得1分，叁级得0.5分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  <w:t>、输变电工程专业承包贰级及以上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 w:bidi="ar"/>
              </w:rPr>
              <w:t>得1分，叁级得0.5分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  <w:t>、具有承装（修、试）电力设施许可证贰级及以上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 w:bidi="ar"/>
              </w:rPr>
              <w:t>得1分，叁级得0.5分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  <w:t>，满分4分。</w:t>
            </w:r>
          </w:p>
          <w:p w14:paraId="50C32977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  <w:t>2. 具有IOS质量认证体系得2分</w:t>
            </w:r>
            <w:r>
              <w:rPr>
                <w:rFonts w:hint="eastAsia" w:ascii="仿宋_GB2312" w:hAnsi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  <w:t>。</w:t>
            </w:r>
          </w:p>
          <w:p w14:paraId="0AAEF3DC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  <w:t>3. 投标人取得绿电交易证书得3分。</w:t>
            </w:r>
          </w:p>
        </w:tc>
      </w:tr>
      <w:tr w14:paraId="256AC8FD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380" w:type="dxa"/>
            <w:tcBorders>
              <w:tl2br w:val="nil"/>
              <w:tr2bl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2B95D1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  <w:t>项目验收人员资历</w:t>
            </w:r>
          </w:p>
        </w:tc>
        <w:tc>
          <w:tcPr>
            <w:tcW w:w="898" w:type="dxa"/>
            <w:tcBorders>
              <w:tl2br w:val="nil"/>
              <w:tr2bl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A8881A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  <w:t>6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  <w:t>分</w:t>
            </w:r>
          </w:p>
        </w:tc>
        <w:tc>
          <w:tcPr>
            <w:tcW w:w="5783" w:type="dxa"/>
            <w:tcBorders>
              <w:tl2br w:val="nil"/>
              <w:tr2bl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3D8231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  <w:t>1. 资格要求：项目负责人应具有电力工程相关专业高级职称，不少于1名；项目主要验收技术人员具有电力工程相关专业中级职称，不少于2名。</w:t>
            </w:r>
            <w:r>
              <w:rPr>
                <w:rFonts w:hint="eastAsia" w:ascii="仿宋_GB2312" w:hAnsi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  <w:t>在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  <w:t>资格要求基础上，每增加1名高级职称</w:t>
            </w:r>
            <w:r>
              <w:rPr>
                <w:rFonts w:hint="eastAsia" w:ascii="仿宋_GB2312" w:hAnsi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  <w:t>验收人员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  <w:t>得4分，1名中级职称</w:t>
            </w:r>
            <w:r>
              <w:rPr>
                <w:rFonts w:hint="eastAsia" w:ascii="仿宋_GB2312" w:hAnsi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  <w:t>验收人员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  <w:t>得2分</w:t>
            </w:r>
            <w:r>
              <w:rPr>
                <w:rFonts w:hint="eastAsia" w:ascii="仿宋_GB2312" w:hAnsi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  <w:t>满分8分。</w:t>
            </w:r>
          </w:p>
          <w:p w14:paraId="01B46036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宋体" w:eastAsia="仿宋_GB2312"/>
                <w:sz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  <w:t>2. 资格要求：项目其他验收技术人员应具有有效期内的特种作业操作证（作业类别为电工作业），人员不少于4名，其中高压电工作业至少1名、低压电工作业至少1名、继电保护作业至少1名、电气试验作业至少1名。</w:t>
            </w:r>
            <w:r>
              <w:rPr>
                <w:rFonts w:hint="eastAsia" w:ascii="仿宋_GB2312" w:hAnsi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  <w:t>在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  <w:t>资格要求基础上，每增加1名验收技术人员得</w:t>
            </w:r>
            <w:r>
              <w:rPr>
                <w:rFonts w:hint="eastAsia" w:ascii="仿宋_GB2312" w:hAnsi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  <w:t>分</w:t>
            </w:r>
            <w:r>
              <w:rPr>
                <w:rFonts w:hint="eastAsia" w:ascii="仿宋_GB2312" w:hAnsi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  <w:t>满分</w:t>
            </w:r>
            <w:r>
              <w:rPr>
                <w:rFonts w:hint="eastAsia" w:ascii="仿宋_GB2312" w:hAnsi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  <w:t>8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  <w:t>分</w:t>
            </w:r>
            <w:r>
              <w:rPr>
                <w:rFonts w:hint="eastAsia" w:ascii="仿宋_GB2312" w:hAnsi="仿宋_GB2312" w:cs="仿宋_GB2312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  <w:t>。</w:t>
            </w:r>
          </w:p>
        </w:tc>
      </w:tr>
    </w:tbl>
    <w:p w14:paraId="79A21E56">
      <w:pPr>
        <w:ind w:left="0" w:leftChars="0" w:firstLine="0" w:firstLineChars="0"/>
        <w:jc w:val="both"/>
        <w:rPr>
          <w:rFonts w:hint="eastAsia" w:ascii="楷体_GB2312" w:hAnsi="楷体_GB2312" w:eastAsia="楷体_GB2312" w:cs="楷体_GB2312"/>
          <w:sz w:val="32"/>
          <w:szCs w:val="32"/>
          <w:highlight w:val="none"/>
        </w:rPr>
      </w:pPr>
    </w:p>
    <w:p w14:paraId="12B39C80">
      <w:pPr>
        <w:ind w:left="0" w:leftChars="0" w:firstLine="320" w:firstLineChars="100"/>
        <w:jc w:val="both"/>
        <w:rPr>
          <w:rFonts w:hint="eastAsia" w:ascii="楷体_GB2312" w:hAnsi="楷体_GB2312" w:eastAsia="楷体_GB2312" w:cs="楷体_GB2312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（二）技术部分（55 分）</w:t>
      </w:r>
    </w:p>
    <w:p w14:paraId="2B4C8698">
      <w:pPr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1. 服务总体方案与验收依据（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分）</w:t>
      </w:r>
    </w:p>
    <w:p w14:paraId="794D9DCC">
      <w:pPr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验收范围完整覆盖主变压器系统、高压配电装置、继电保护及自动化、直流系统、站用电系统、电缆及接地系统</w:t>
      </w:r>
      <w:r>
        <w:rPr>
          <w:rFonts w:hint="eastAsia" w:ascii="仿宋_GB2312" w:hAnsi="仿宋_GB2312" w:cs="仿宋_GB2312"/>
          <w:sz w:val="32"/>
          <w:szCs w:val="32"/>
          <w:highlight w:val="none"/>
          <w:lang w:eastAsia="zh-CN"/>
        </w:rPr>
        <w:t>、</w:t>
      </w:r>
      <w:r>
        <w:rPr>
          <w:highlight w:val="none"/>
        </w:rPr>
        <w:t>土建工程、</w:t>
      </w:r>
      <w:r>
        <w:rPr>
          <w:rFonts w:hint="eastAsia"/>
          <w:highlight w:val="none"/>
          <w:lang w:val="en-US" w:eastAsia="zh-CN"/>
        </w:rPr>
        <w:t>隐蔽</w:t>
      </w:r>
      <w:r>
        <w:rPr>
          <w:highlight w:val="none"/>
        </w:rPr>
        <w:t>设施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等全部变电专业内容，边界清晰，得 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分；</w:t>
      </w:r>
    </w:p>
    <w:p w14:paraId="2C2FA4FB">
      <w:pPr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验收依据准确全面，严格对标国家现行规范、行业规程及项目设计文件，无错漏，得 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分；</w:t>
      </w:r>
    </w:p>
    <w:p w14:paraId="18F9A401">
      <w:pPr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验收组织架构清晰、岗位职责明确，工作流程逻辑合理，与项目施工进度匹配度高，得 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分。</w:t>
      </w:r>
    </w:p>
    <w:p w14:paraId="77C9FC0C">
      <w:pPr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2. 各专业验收技术方案（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分）</w:t>
      </w:r>
    </w:p>
    <w:p w14:paraId="4C7DAFFD">
      <w:pPr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针对变电各专业制定专项验收方法与核心要点，按专业性、完整性、针对性分档打分：</w:t>
      </w:r>
    </w:p>
    <w:p w14:paraId="299106CE">
      <w:pPr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主变压器及附属设备验收：涵盖外观检查、本体试验、油务试验、冷却系统、保护传动等要点，方法规范得 3 分；</w:t>
      </w:r>
    </w:p>
    <w:p w14:paraId="0219FE0E">
      <w:pPr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高压配电装置（GIS / 开关柜 / 无功补偿）验收：包含气密性、绝缘、机械特性、接地检查等验收方法，针对性强得 3 分；</w:t>
      </w:r>
    </w:p>
    <w:p w14:paraId="52C5E1B4">
      <w:pPr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继电保护及自动化系统验收：涵盖装置校验、整组传动、远动通信、监控功能等验收方案，内容详实得 3 分；</w:t>
      </w:r>
    </w:p>
    <w:p w14:paraId="415F0F39">
      <w:pPr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直流与站用电系统验收：包含蓄电池组、充电装置、站用变、低压配电等验收要点，方法可行得 3 分；</w:t>
      </w:r>
    </w:p>
    <w:p w14:paraId="22074A39">
      <w:pPr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电缆、接地及站区电气设施验收：包含电缆敷设接线、接地网电阻测试、照明系统等内容得 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分；</w:t>
      </w:r>
    </w:p>
    <w:p w14:paraId="09A8D2BF">
      <w:pPr>
        <w:jc w:val="both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土建工程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及辅助工程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验收：涵盖地基基础、主体结构、装饰装修、屋面防水、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消防工程、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给排水暖通、建筑防雷、室外构筑物、隐蔽工程，符合国网标准工艺得3分；</w:t>
      </w:r>
    </w:p>
    <w:p w14:paraId="3952686E">
      <w:pPr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竣工资料审查方案：包含施工记录、试验报告、出厂资料等核查要点与方法得 2 分。</w:t>
      </w:r>
    </w:p>
    <w:p w14:paraId="4303EDED">
      <w:pPr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3. 质量控制与问题闭环管理（10 分）</w:t>
      </w:r>
    </w:p>
    <w:p w14:paraId="0865DE01">
      <w:pPr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制定不合格项跟踪闭环流程，明确问题分级、整改时限、复核验证标准，可落地性强，得 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分；</w:t>
      </w:r>
    </w:p>
    <w:p w14:paraId="5E2AE9F0">
      <w:pPr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验收成果评定标准清晰，严格对标规范进行质量等级评定，验收报告格式规范、数据完整，得 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分。</w:t>
      </w:r>
    </w:p>
    <w:p w14:paraId="4E65B39D">
      <w:pPr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. 进度计划与保障措施（6 分）</w:t>
      </w:r>
    </w:p>
    <w:p w14:paraId="792E2E36">
      <w:pPr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结合项目总工期制定分阶段验收进度计划，明确各专业验收节点、衔接关系，与施工进度高度匹配，得 3 分；</w:t>
      </w:r>
    </w:p>
    <w:p w14:paraId="14FEF421">
      <w:pPr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针对天气、施工滞后、设备缺陷等影响因素制定应对预案，保障措施具体可行，得 3 分。</w:t>
      </w:r>
    </w:p>
    <w:p w14:paraId="40674BC3">
      <w:pPr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. 安全文明作业管理（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分）</w:t>
      </w:r>
    </w:p>
    <w:p w14:paraId="3965F6C5">
      <w:pPr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严格遵守电力安全工作规程，制定现场安全管理制度，明确专职安全责任人，得 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分；</w:t>
      </w:r>
    </w:p>
    <w:p w14:paraId="5822A24A">
      <w:pPr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针对高压设备区作业、高空作业等危险点制定专项防护措施与应急处置方案，得 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分。</w:t>
      </w:r>
    </w:p>
    <w:p w14:paraId="57611C84">
      <w:pPr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. 成果交付与后续服务（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分）</w:t>
      </w:r>
    </w:p>
    <w:p w14:paraId="57824840">
      <w:pPr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提供验收后整改复核、技术答疑等后续服务承诺，得 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分。</w:t>
      </w:r>
    </w:p>
    <w:p w14:paraId="709B9834">
      <w:pPr>
        <w:jc w:val="both"/>
        <w:rPr>
          <w:rFonts w:hint="eastAsia" w:ascii="楷体_GB2312" w:hAnsi="楷体_GB2312" w:eastAsia="楷体_GB2312" w:cs="楷体_GB2312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（三）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商务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部分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（20 分）</w:t>
      </w:r>
    </w:p>
    <w:p w14:paraId="2BEA96F9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评</w:t>
      </w:r>
      <w:r>
        <w:rPr>
          <w:rFonts w:hint="eastAsia" w:ascii="仿宋_GB2312" w:hAnsi="仿宋_GB2312" w:cs="仿宋_GB2312"/>
          <w:b/>
          <w:bCs/>
          <w:sz w:val="32"/>
          <w:szCs w:val="32"/>
          <w:highlight w:val="none"/>
          <w:lang w:val="en-US" w:eastAsia="zh-CN"/>
        </w:rPr>
        <w:t>分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基准价：通过</w:t>
      </w:r>
      <w:r>
        <w:rPr>
          <w:rFonts w:hint="eastAsia" w:ascii="仿宋_GB2312" w:hAnsi="仿宋_GB2312" w:cs="仿宋_GB2312"/>
          <w:b/>
          <w:bCs/>
          <w:sz w:val="32"/>
          <w:szCs w:val="32"/>
          <w:highlight w:val="none"/>
          <w:lang w:val="en-US" w:eastAsia="zh-CN"/>
        </w:rPr>
        <w:t>资格性审查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的有效供应商报价为有效响应报价，评分基准价的计算办法如下：评分基准价=A*50%+B*50%，A为最高限价;B为所有效响应报价的算术平均值。</w:t>
      </w:r>
    </w:p>
    <w:p w14:paraId="2622583C">
      <w:pPr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响应人商务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得分计算公式： </w:t>
      </w:r>
    </w:p>
    <w:p w14:paraId="48BD2EBA">
      <w:pPr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（1）当供应商报价等于评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highlight w:val="none"/>
          <w:lang w:val="en-US" w:eastAsia="zh-CN"/>
        </w:rPr>
        <w:t>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基准价时，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highlight w:val="none"/>
          <w:lang w:val="en-US" w:eastAsia="zh-CN"/>
        </w:rPr>
        <w:t>响应人商务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得分=20分；</w:t>
      </w:r>
    </w:p>
    <w:p w14:paraId="364EB284">
      <w:pPr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（2）当供应商报价高于评分基准价时，按照每高于评分基准价1%扣0.5分的比例在满分20分基础上进行扣分，扣完为止。即：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highlight w:val="none"/>
          <w:lang w:val="en-US" w:eastAsia="zh-CN"/>
        </w:rPr>
        <w:t>响应人商务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得分=20-（响应人的响应报价-评分基准价）/评分基准价×100×0.5。</w:t>
      </w:r>
    </w:p>
    <w:p w14:paraId="0736192C">
      <w:pPr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（3）当供应商报价低于评标基准价时，按照每低于评分基准价1%扣0.5分的比例在满分20分基础上进行扣分，扣完为止。即：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highlight w:val="none"/>
          <w:lang w:val="en-US" w:eastAsia="zh-CN"/>
        </w:rPr>
        <w:t>响应人商务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得分=20-（评分基准价-响应人的响应报价）/评分基准价×100×0.5。</w:t>
      </w:r>
    </w:p>
    <w:p w14:paraId="207E4B80">
      <w:pPr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相关说明：</w:t>
      </w:r>
    </w:p>
    <w:p w14:paraId="4E841FB6">
      <w:pPr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价格得分保留两位小数，四舍五入。</w:t>
      </w:r>
    </w:p>
    <w:p w14:paraId="15F95DFB">
      <w:pPr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上述参与计算的最高限价和响应报价均为含税价。</w:t>
      </w:r>
    </w:p>
    <w:p w14:paraId="4B0F3C7A">
      <w:pPr>
        <w:jc w:val="both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四、评分计算与排序规则</w:t>
      </w:r>
    </w:p>
    <w:p w14:paraId="5F548C05">
      <w:pPr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比选小组各成员独立打分，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人各分项得分的算术平均值为该部分最终得分（保留两位小数）。</w:t>
      </w:r>
    </w:p>
    <w:p w14:paraId="2C093173">
      <w:pPr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人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总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得分 = 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综合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得分 + 技术得分 + 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商务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得分。</w:t>
      </w:r>
    </w:p>
    <w:p w14:paraId="0257D44C">
      <w:pPr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按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总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得分由高到低排序，推荐前 3 名作为中选候选人。</w:t>
      </w:r>
    </w:p>
    <w:p w14:paraId="6918DAC4">
      <w:pPr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总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得分相同时，依次按技术得分高→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综合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得分高→投标报价低的优先级排序。</w:t>
      </w:r>
    </w:p>
    <w:p w14:paraId="2381AEBB">
      <w:pPr>
        <w:jc w:val="both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五、附则</w:t>
      </w:r>
    </w:p>
    <w:p w14:paraId="4BC755B3">
      <w:pPr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本办法由比选人负责解释，评审过程严格保密。</w:t>
      </w:r>
    </w:p>
    <w:p w14:paraId="698D5CA2">
      <w:pPr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若发现参选单位存在弄虚作假、串通比选等违法违规行为，立即取消其参选资格，已中选的取消中选资格。</w:t>
      </w:r>
    </w:p>
    <w:p w14:paraId="5EF21768">
      <w:pPr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评审过程中遇本办法未列明事项，由比选小组集体研究决定。</w:t>
      </w:r>
    </w:p>
    <w:sectPr>
      <w:footerReference r:id="rId5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A39D17">
    <w:pPr>
      <w:pStyle w:val="12"/>
      <w:rPr>
        <w:rFonts w:hint="eastAsia" w:ascii="宋体" w:hAnsi="宋体" w:eastAsia="宋体" w:cs="宋体"/>
        <w:sz w:val="28"/>
        <w:szCs w:val="2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755897">
                          <w:pPr>
                            <w:pStyle w:val="1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755897">
                    <w:pPr>
                      <w:pStyle w:val="1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44D90A"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44D90A">
                    <w:pPr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F0A83BF">
    <w:pPr>
      <w:pStyle w:val="12"/>
      <w:tabs>
        <w:tab w:val="left" w:pos="6629"/>
        <w:tab w:val="clear" w:pos="4153"/>
      </w:tabs>
      <w:rPr>
        <w:rFonts w:hint="eastAsia" w:eastAsia="仿宋_GB2312"/>
        <w:lang w:eastAsia="zh-C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1A3C06"/>
    <w:multiLevelType w:val="multilevel"/>
    <w:tmpl w:val="1E1A3C06"/>
    <w:lvl w:ilvl="0" w:tentative="0">
      <w:start w:val="1"/>
      <w:numFmt w:val="chineseCounting"/>
      <w:pStyle w:val="2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xYzhhYTJkNmMzOGZjODhhMTQ4MTE0YzJkNzQ0NmIifQ=="/>
  </w:docVars>
  <w:rsids>
    <w:rsidRoot w:val="5A9500DF"/>
    <w:rsid w:val="005830A8"/>
    <w:rsid w:val="018B72E9"/>
    <w:rsid w:val="060A7D56"/>
    <w:rsid w:val="07336A89"/>
    <w:rsid w:val="08534B9D"/>
    <w:rsid w:val="0A6E4974"/>
    <w:rsid w:val="0ADA7FCA"/>
    <w:rsid w:val="0CCF1943"/>
    <w:rsid w:val="0DF107ED"/>
    <w:rsid w:val="0E8B6762"/>
    <w:rsid w:val="12044258"/>
    <w:rsid w:val="14500BD4"/>
    <w:rsid w:val="14A21F50"/>
    <w:rsid w:val="14A764A6"/>
    <w:rsid w:val="15BF18E5"/>
    <w:rsid w:val="16810304"/>
    <w:rsid w:val="176A6B79"/>
    <w:rsid w:val="1B765E86"/>
    <w:rsid w:val="250F09FA"/>
    <w:rsid w:val="25134F8E"/>
    <w:rsid w:val="252A06A8"/>
    <w:rsid w:val="26644B8A"/>
    <w:rsid w:val="28090A48"/>
    <w:rsid w:val="295647E3"/>
    <w:rsid w:val="29713789"/>
    <w:rsid w:val="2C30501C"/>
    <w:rsid w:val="2E550519"/>
    <w:rsid w:val="2FD2186A"/>
    <w:rsid w:val="33827CED"/>
    <w:rsid w:val="34196CE7"/>
    <w:rsid w:val="364E60C2"/>
    <w:rsid w:val="36E64758"/>
    <w:rsid w:val="372556DE"/>
    <w:rsid w:val="37B57AAB"/>
    <w:rsid w:val="385B0E4C"/>
    <w:rsid w:val="39AF2B11"/>
    <w:rsid w:val="3D261D32"/>
    <w:rsid w:val="3DF72DD9"/>
    <w:rsid w:val="3FDF4A89"/>
    <w:rsid w:val="41AC038F"/>
    <w:rsid w:val="428D00BE"/>
    <w:rsid w:val="43663D51"/>
    <w:rsid w:val="44DD0E3B"/>
    <w:rsid w:val="45352A25"/>
    <w:rsid w:val="46506403"/>
    <w:rsid w:val="47F06DD4"/>
    <w:rsid w:val="4A654D56"/>
    <w:rsid w:val="4DE15586"/>
    <w:rsid w:val="4FE7743A"/>
    <w:rsid w:val="505B4739"/>
    <w:rsid w:val="509251CF"/>
    <w:rsid w:val="512A0DD9"/>
    <w:rsid w:val="52C438B8"/>
    <w:rsid w:val="541F6242"/>
    <w:rsid w:val="54BD6CB9"/>
    <w:rsid w:val="576B22D6"/>
    <w:rsid w:val="58C10E85"/>
    <w:rsid w:val="5A6E5909"/>
    <w:rsid w:val="5A9500DF"/>
    <w:rsid w:val="5B6F5408"/>
    <w:rsid w:val="5BA06984"/>
    <w:rsid w:val="64B14D8B"/>
    <w:rsid w:val="65DC302A"/>
    <w:rsid w:val="6691080B"/>
    <w:rsid w:val="67A15488"/>
    <w:rsid w:val="69414646"/>
    <w:rsid w:val="6C64017B"/>
    <w:rsid w:val="6EA4177D"/>
    <w:rsid w:val="6EB2430D"/>
    <w:rsid w:val="70C34349"/>
    <w:rsid w:val="74586AFF"/>
    <w:rsid w:val="75275B9B"/>
    <w:rsid w:val="77CF549F"/>
    <w:rsid w:val="78816A0A"/>
    <w:rsid w:val="78A553AF"/>
    <w:rsid w:val="79850DC6"/>
    <w:rsid w:val="7A291C6B"/>
    <w:rsid w:val="7AAF3036"/>
    <w:rsid w:val="7D454CFF"/>
    <w:rsid w:val="7E727DD2"/>
    <w:rsid w:val="7FD3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numPr>
        <w:ilvl w:val="0"/>
        <w:numId w:val="1"/>
      </w:numPr>
      <w:spacing w:line="560" w:lineRule="exact"/>
      <w:ind w:left="0" w:firstLine="0" w:firstLineChars="0"/>
      <w:jc w:val="left"/>
      <w:outlineLvl w:val="0"/>
    </w:pPr>
    <w:rPr>
      <w:rFonts w:ascii="Times New Roman" w:hAnsi="Times New Roman" w:eastAsia="黑体" w:cs="Times New Roman"/>
      <w:kern w:val="44"/>
      <w:szCs w:val="30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keepNext/>
      <w:keepLines/>
      <w:numPr>
        <w:ilvl w:val="1"/>
        <w:numId w:val="1"/>
      </w:numPr>
      <w:ind w:left="0" w:leftChars="0" w:firstLine="0" w:firstLineChars="0"/>
      <w:jc w:val="left"/>
      <w:outlineLvl w:val="1"/>
    </w:pPr>
    <w:rPr>
      <w:rFonts w:ascii="Times New Roman" w:hAnsi="Times New Roman" w:eastAsia="楷体_GB2312" w:cs="Times New Roman"/>
      <w:bCs/>
      <w:szCs w:val="28"/>
    </w:rPr>
  </w:style>
  <w:style w:type="paragraph" w:styleId="4">
    <w:name w:val="heading 3"/>
    <w:basedOn w:val="1"/>
    <w:next w:val="1"/>
    <w:autoRedefine/>
    <w:semiHidden/>
    <w:unhideWhenUsed/>
    <w:qFormat/>
    <w:uiPriority w:val="0"/>
    <w:pPr>
      <w:keepNext/>
      <w:keepLines/>
      <w:widowControl/>
      <w:numPr>
        <w:ilvl w:val="2"/>
        <w:numId w:val="1"/>
      </w:numPr>
      <w:spacing w:line="560" w:lineRule="exact"/>
      <w:ind w:left="0" w:firstLine="400" w:firstLineChars="0"/>
      <w:jc w:val="left"/>
      <w:outlineLvl w:val="2"/>
    </w:pPr>
    <w:rPr>
      <w:rFonts w:cs="Times New Roman"/>
      <w:kern w:val="0"/>
      <w:szCs w:val="20"/>
    </w:rPr>
  </w:style>
  <w:style w:type="paragraph" w:styleId="5">
    <w:name w:val="heading 4"/>
    <w:basedOn w:val="1"/>
    <w:next w:val="1"/>
    <w:autoRedefine/>
    <w:semiHidden/>
    <w:unhideWhenUsed/>
    <w:qFormat/>
    <w:uiPriority w:val="0"/>
    <w:pPr>
      <w:keepNext/>
      <w:keepLines/>
      <w:numPr>
        <w:ilvl w:val="3"/>
        <w:numId w:val="1"/>
      </w:numPr>
      <w:spacing w:beforeLines="0" w:beforeAutospacing="0" w:afterLines="0" w:afterAutospacing="0" w:line="560" w:lineRule="atLeast"/>
      <w:ind w:left="0" w:firstLine="402" w:firstLineChars="0"/>
      <w:outlineLvl w:val="3"/>
    </w:pPr>
    <w:rPr>
      <w:rFonts w:ascii="Arial" w:hAnsi="Arial" w:cs="Times New Roman"/>
    </w:rPr>
  </w:style>
  <w:style w:type="paragraph" w:styleId="6">
    <w:name w:val="heading 5"/>
    <w:basedOn w:val="1"/>
    <w:next w:val="1"/>
    <w:autoRedefine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0" w:firstLine="402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autoRedefine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0" w:firstLine="402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autoRedefine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0" w:firstLine="402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autoRedefine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0" w:firstLine="402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autoRedefine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0" w:firstLine="402" w:firstLineChars="0"/>
      <w:outlineLvl w:val="8"/>
    </w:pPr>
    <w:rPr>
      <w:rFonts w:ascii="Arial" w:hAnsi="Arial" w:eastAsia="黑体"/>
      <w:sz w:val="21"/>
    </w:rPr>
  </w:style>
  <w:style w:type="character" w:default="1" w:styleId="15">
    <w:name w:val="Default Paragraph Font"/>
    <w:autoRedefine/>
    <w:semiHidden/>
    <w:qFormat/>
    <w:uiPriority w:val="0"/>
  </w:style>
  <w:style w:type="table" w:default="1" w:styleId="1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next w:val="1"/>
    <w:autoRedefine/>
    <w:qFormat/>
    <w:uiPriority w:val="0"/>
    <w:pPr>
      <w:spacing w:afterLines="0" w:afterAutospacing="0"/>
    </w:pPr>
    <w:rPr>
      <w:rFonts w:ascii="Times New Roman" w:hAnsi="Times New Roman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507</Words>
  <Characters>552</Characters>
  <Lines>0</Lines>
  <Paragraphs>0</Paragraphs>
  <TotalTime>11</TotalTime>
  <ScaleCrop>false</ScaleCrop>
  <LinksUpToDate>false</LinksUpToDate>
  <CharactersWithSpaces>562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2026-09-03T10:13:00Z</dcterms:created>
  <dc:creator>丁晨轩</dc:creator>
  <cp:lastModifiedBy>张景斌</cp:lastModifiedBy>
  <dcterms:modified xsi:type="dcterms:W3CDTF">2026-09-10T09:12:31Z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04099C50DF9C48A38B054FE4C2B3C00C_11</vt:lpwstr>
  </property>
  <property fmtid="{D5CDD505-2E9C-101B-9397-08002B2CF9AE}" pid="4" name="KSOTemplateDocerSaveRecord">
    <vt:lpwstr>eyJoZGlkIjoiMmQ2MTZkOWNkNTkxZDc3YzdkYzBmZTE5OThmMGNkZTQiLCJ1c2VySWQiOiI1ODU5MTkyOTAifQ==</vt:lpwstr>
  </property>
</Properties>
</file>