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D3E015">
      <w:pPr>
        <w:pStyle w:val="6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评审规则</w:t>
      </w:r>
    </w:p>
    <w:tbl>
      <w:tblPr>
        <w:tblStyle w:val="10"/>
        <w:tblW w:w="9464" w:type="dxa"/>
        <w:tblInd w:w="-108" w:type="dxa"/>
        <w:tblBorders>
          <w:top w:val="single" w:color="auto" w:sz="40" w:space="0"/>
          <w:left w:val="single" w:color="auto" w:sz="40" w:space="0"/>
          <w:bottom w:val="single" w:color="auto" w:sz="40" w:space="0"/>
          <w:right w:val="single" w:color="auto" w:sz="40" w:space="0"/>
          <w:insideH w:val="single" w:color="auto" w:sz="40" w:space="0"/>
          <w:insideV w:val="single" w:color="auto" w:sz="4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2"/>
        <w:gridCol w:w="1155"/>
        <w:gridCol w:w="1778"/>
        <w:gridCol w:w="5739"/>
      </w:tblGrid>
      <w:tr w14:paraId="242A0D2E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05" w:hRule="atLeast"/>
          <w:tblHeader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3F35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29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3114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评审因素</w:t>
            </w:r>
          </w:p>
        </w:tc>
        <w:tc>
          <w:tcPr>
            <w:tcW w:w="5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0A90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评审标准</w:t>
            </w:r>
          </w:p>
        </w:tc>
      </w:tr>
      <w:tr w14:paraId="304DC350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1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05E2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9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B15F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分值构成</w:t>
            </w:r>
          </w:p>
          <w:p w14:paraId="1F92E6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(总分100分)</w:t>
            </w:r>
          </w:p>
        </w:tc>
        <w:tc>
          <w:tcPr>
            <w:tcW w:w="5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F93D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360" w:lineRule="auto"/>
              <w:ind w:left="0" w:leftChars="0" w:right="0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报价部分：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40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分</w:t>
            </w:r>
          </w:p>
          <w:p w14:paraId="5BB709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360" w:lineRule="auto"/>
              <w:ind w:left="0" w:leftChars="0" w:right="0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技术部分：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30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分</w:t>
            </w:r>
          </w:p>
          <w:p w14:paraId="5C8E47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360" w:lineRule="auto"/>
              <w:ind w:left="0" w:leftChars="0" w:right="0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综合部分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：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30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分</w:t>
            </w:r>
          </w:p>
        </w:tc>
      </w:tr>
      <w:tr w14:paraId="374BAF1F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668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D5E8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</w:t>
            </w:r>
          </w:p>
        </w:tc>
        <w:tc>
          <w:tcPr>
            <w:tcW w:w="29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E2D8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评审基准价计算方法</w:t>
            </w:r>
          </w:p>
        </w:tc>
        <w:tc>
          <w:tcPr>
            <w:tcW w:w="5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F99D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360" w:lineRule="auto"/>
              <w:ind w:left="0" w:leftChars="0" w:right="0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有效供应商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报价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：通过初步评审（形式评审、资格评审、响应性评审）的供应商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的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报价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含税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为有效报价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。</w:t>
            </w:r>
          </w:p>
          <w:p w14:paraId="27C13D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360" w:lineRule="auto"/>
              <w:ind w:left="0" w:leftChars="0" w:right="0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评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基准价的确定：有效供应商数量≥5家时，去掉1个最高有效报价、1个最低有效报价后，取剩余有效报价（含税）的算术平均值作为评审基准价；</w:t>
            </w:r>
          </w:p>
          <w:p w14:paraId="21D9DB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360" w:lineRule="auto"/>
              <w:ind w:left="0" w:leftChars="0" w:right="0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有效供应商数量不足5家时，评审基准价=全部有效报价（含税）的算术平均值。</w:t>
            </w:r>
          </w:p>
        </w:tc>
      </w:tr>
      <w:tr w14:paraId="56E22059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433" w:hRule="atLeast"/>
        </w:trPr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2D07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FADB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报价部分（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40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分）</w:t>
            </w:r>
          </w:p>
        </w:tc>
        <w:tc>
          <w:tcPr>
            <w:tcW w:w="1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E034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24"/>
                <w:szCs w:val="24"/>
              </w:rPr>
              <w:t>报价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得分</w:t>
            </w:r>
          </w:p>
          <w:p w14:paraId="16A245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40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分）</w:t>
            </w:r>
          </w:p>
        </w:tc>
        <w:tc>
          <w:tcPr>
            <w:tcW w:w="5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FEF7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360" w:lineRule="auto"/>
              <w:ind w:left="0" w:leftChars="0" w:right="0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（1）当有效供应商响应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总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报价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lang w:val="en-US" w:eastAsia="zh-CN"/>
              </w:rPr>
              <w:t>含税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等于评标基准价时，供应商得满分</w:t>
            </w: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lang w:val="en-US" w:eastAsia="zh-CN"/>
              </w:rPr>
              <w:t>40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分；</w:t>
            </w:r>
          </w:p>
          <w:p w14:paraId="1F83BA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360" w:lineRule="auto"/>
              <w:ind w:left="0" w:leftChars="0" w:right="0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（2）当响应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总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报价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lang w:val="en-US" w:eastAsia="zh-CN"/>
              </w:rPr>
              <w:t>含税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高于评标基准价时，按每高于评标基准价1%扣1分的比例在</w:t>
            </w: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lang w:val="en-US" w:eastAsia="zh-CN"/>
              </w:rPr>
              <w:t>40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分的基础上进行扣分，扣完为止。</w:t>
            </w:r>
          </w:p>
          <w:p w14:paraId="3DD039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360" w:lineRule="auto"/>
              <w:ind w:left="0" w:leftChars="0" w:right="0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报价得分=</w:t>
            </w: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lang w:val="en-US" w:eastAsia="zh-CN"/>
              </w:rPr>
              <w:t>40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分-（供应商响应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总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报价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lang w:val="en-US" w:eastAsia="zh-CN"/>
              </w:rPr>
              <w:t>含税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-评标基准价）/评标基准价×1×100；</w:t>
            </w:r>
          </w:p>
          <w:p w14:paraId="75E251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360" w:lineRule="auto"/>
              <w:ind w:left="0" w:leftChars="0" w:right="0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（3）当响应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总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报价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lang w:val="en-US" w:eastAsia="zh-CN"/>
              </w:rPr>
              <w:t>含税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低于评标基准价时，按每低于评标基准价1%扣0.5分的比例在</w:t>
            </w: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lang w:val="en-US" w:eastAsia="zh-CN"/>
              </w:rPr>
              <w:t>40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分的基础上进行扣分，扣完为止。</w:t>
            </w:r>
          </w:p>
          <w:p w14:paraId="2F4DBD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360" w:lineRule="auto"/>
              <w:ind w:left="0" w:leftChars="0" w:right="0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报价得分=</w:t>
            </w: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lang w:val="en-US" w:eastAsia="zh-CN"/>
              </w:rPr>
              <w:t>40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分+（供应商响应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总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报价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lang w:val="en-US" w:eastAsia="zh-CN"/>
              </w:rPr>
              <w:t>含税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-评标基准价）/评标基准价×0.5×100</w:t>
            </w:r>
          </w:p>
          <w:p w14:paraId="51E384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360" w:lineRule="auto"/>
              <w:ind w:left="0" w:leftChars="0" w:right="0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备注：数值精度为小数点后二位，第三位小数进行四舍五入。</w:t>
            </w:r>
          </w:p>
        </w:tc>
      </w:tr>
      <w:tr w14:paraId="4856614A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34" w:hRule="atLeast"/>
        </w:trPr>
        <w:tc>
          <w:tcPr>
            <w:tcW w:w="7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B631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15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E1C1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yellow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技术部分（</w:t>
            </w:r>
            <w:r>
              <w:rPr>
                <w:rFonts w:hint="eastAsia" w:ascii="仿宋_GB2312" w:hAnsi="仿宋_GB2312" w:cs="仿宋_GB2312"/>
                <w:bCs/>
                <w:sz w:val="24"/>
                <w:szCs w:val="24"/>
                <w:lang w:val="en-US" w:eastAsia="zh-CN"/>
              </w:rPr>
              <w:t>30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分）</w:t>
            </w:r>
          </w:p>
        </w:tc>
        <w:tc>
          <w:tcPr>
            <w:tcW w:w="1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7B68E5">
            <w:pPr>
              <w:pStyle w:val="1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napToGrid w:val="0"/>
              <w:spacing w:beforeLines="0" w:afterLines="0" w:line="360" w:lineRule="auto"/>
              <w:ind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项目理解与分析</w:t>
            </w:r>
          </w:p>
          <w:p w14:paraId="69C2D9B9">
            <w:pPr>
              <w:pStyle w:val="1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napToGrid w:val="0"/>
              <w:spacing w:beforeLines="0" w:afterLines="0" w:line="360" w:lineRule="auto"/>
              <w:ind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yellow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（</w:t>
            </w:r>
            <w:r>
              <w:rPr>
                <w:rFonts w:hint="eastAsia" w:ascii="仿宋_GB2312" w:hAnsi="仿宋_GB2312" w:cs="仿宋_GB2312"/>
                <w:kern w:val="2"/>
                <w:sz w:val="24"/>
                <w:szCs w:val="24"/>
                <w:lang w:val="en-US" w:eastAsia="zh-CN" w:bidi="ar-SA"/>
              </w:rPr>
              <w:t>10</w:t>
            </w: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分）</w:t>
            </w:r>
          </w:p>
        </w:tc>
        <w:tc>
          <w:tcPr>
            <w:tcW w:w="5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6FD2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360" w:lineRule="auto"/>
              <w:ind w:left="0" w:leftChars="0" w:right="0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根据供应商对本项目背景、建设内容、区域现状、规划要求等方面的理解深度进行打分。理解全面深入、分析透彻的得7-10分；理解较为全面、分析合理的得4-6分；理解一般、分析较浅的得1-3分；未提供或严重偏离的得0分。</w:t>
            </w:r>
          </w:p>
        </w:tc>
      </w:tr>
      <w:tr w14:paraId="1989A6C4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34" w:hRule="atLeast"/>
        </w:trPr>
        <w:tc>
          <w:tcPr>
            <w:tcW w:w="7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BD42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1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D1C4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45FA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服务方案</w:t>
            </w:r>
          </w:p>
          <w:p w14:paraId="14DF90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分）</w:t>
            </w:r>
          </w:p>
        </w:tc>
        <w:tc>
          <w:tcPr>
            <w:tcW w:w="5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578D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360" w:lineRule="auto"/>
              <w:ind w:left="0" w:leftChars="0" w:right="0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根据供应商提供的可行性研究报告编制工作方案进行打分，包括工作思路、技术路线、编制方法、进度计划等。方案科学合理、思路清晰、可操作性强的得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分；方案较合理、基本可行的得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3-4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分；方案一般、可行性较差的得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1-2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分；未提供的得0分。</w:t>
            </w:r>
          </w:p>
        </w:tc>
      </w:tr>
      <w:tr w14:paraId="2828B562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34" w:hRule="atLeast"/>
        </w:trPr>
        <w:tc>
          <w:tcPr>
            <w:tcW w:w="7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DD35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1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E061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39F51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质量保证措施</w:t>
            </w:r>
          </w:p>
          <w:p w14:paraId="13A2E52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（5分）</w:t>
            </w:r>
          </w:p>
        </w:tc>
        <w:tc>
          <w:tcPr>
            <w:tcW w:w="5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1CF3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360" w:lineRule="auto"/>
              <w:ind w:left="0" w:leftChars="0" w:right="0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根据供应商提供的成果质量控制措施、内部审核机制、评审保障手段等进行打分。措施完善、机制健全、保障有力的得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分；措施较完善、基本可行的得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3-4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分；措施一般、保障较弱的得1-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分；未提供的得0分。</w:t>
            </w:r>
          </w:p>
        </w:tc>
      </w:tr>
      <w:tr w14:paraId="3536D6BE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34" w:hRule="atLeast"/>
        </w:trPr>
        <w:tc>
          <w:tcPr>
            <w:tcW w:w="7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D412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1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6ABA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2569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进度保障措施</w:t>
            </w:r>
          </w:p>
          <w:p w14:paraId="5127C7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（</w:t>
            </w:r>
            <w:r>
              <w:rPr>
                <w:rFonts w:hint="eastAsia" w:ascii="仿宋_GB2312" w:hAnsi="仿宋_GB2312" w:cs="仿宋_GB2312"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分）</w:t>
            </w:r>
          </w:p>
        </w:tc>
        <w:tc>
          <w:tcPr>
            <w:tcW w:w="5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9F55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360" w:lineRule="auto"/>
              <w:ind w:left="0" w:leftChars="0" w:right="0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根据供应商提供的服务期限承诺及进度保障措施进行打分，包括进度安排合理性、关键节点控制、逾期风险应对等。进度安排科学、保障措施具体的得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分；进度安排较合理、有基本保障措施的得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-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分；进度安排一般、保障措施较弱的得1-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分；未提供的得0分。</w:t>
            </w:r>
          </w:p>
        </w:tc>
      </w:tr>
      <w:tr w14:paraId="4707BA1A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705" w:hRule="atLeast"/>
        </w:trPr>
        <w:tc>
          <w:tcPr>
            <w:tcW w:w="7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23C2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1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58A5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2691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后续服务承诺</w:t>
            </w:r>
          </w:p>
          <w:p w14:paraId="0533B3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分）</w:t>
            </w:r>
          </w:p>
        </w:tc>
        <w:tc>
          <w:tcPr>
            <w:tcW w:w="5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60AD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360" w:lineRule="auto"/>
              <w:ind w:left="0" w:leftChars="0" w:right="0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供应商提供的后续技术支持、评审配合、报批协助等服务承诺进行打分。承诺内容具体、响应及时、服务周到的得5分；承诺较具体、基本满足需求的得3-4分；承诺一般、服务保障较弱的得1-2分；未提供的得0分。</w:t>
            </w:r>
          </w:p>
        </w:tc>
      </w:tr>
      <w:tr w14:paraId="6492B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8" w:hRule="atLeast"/>
        </w:trPr>
        <w:tc>
          <w:tcPr>
            <w:tcW w:w="792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EBCB5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155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23D98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highlight w:val="none"/>
                <w:lang w:eastAsia="zh-CN"/>
              </w:rPr>
              <w:t>综合部分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highlight w:val="none"/>
              </w:rPr>
              <w:t>（</w:t>
            </w:r>
            <w:r>
              <w:rPr>
                <w:rFonts w:hint="eastAsia" w:ascii="仿宋_GB2312" w:hAnsi="仿宋_GB2312" w:cs="仿宋_GB2312"/>
                <w:bCs/>
                <w:sz w:val="24"/>
                <w:szCs w:val="24"/>
                <w:highlight w:val="none"/>
                <w:lang w:val="en-US" w:eastAsia="zh-CN"/>
              </w:rPr>
              <w:t>30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highlight w:val="none"/>
              </w:rPr>
              <w:t>分）</w:t>
            </w:r>
          </w:p>
        </w:tc>
        <w:tc>
          <w:tcPr>
            <w:tcW w:w="1778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8EA1D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企业业绩</w:t>
            </w:r>
          </w:p>
          <w:p w14:paraId="76FCC0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（</w:t>
            </w:r>
            <w:r>
              <w:rPr>
                <w:rFonts w:hint="eastAsia" w:ascii="仿宋_GB2312" w:hAnsi="仿宋_GB2312" w:cs="仿宋_GB2312"/>
                <w:bCs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分）</w:t>
            </w:r>
          </w:p>
        </w:tc>
        <w:tc>
          <w:tcPr>
            <w:tcW w:w="573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226941F"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近五年（自2021年</w:t>
            </w:r>
            <w:r>
              <w:rPr>
                <w:rFonts w:hint="eastAsia" w:ascii="仿宋_GB2312" w:hAnsi="仿宋_GB2312" w:cs="仿宋_GB2312"/>
                <w:bCs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月1日以来）承接过</w:t>
            </w:r>
            <w:r>
              <w:rPr>
                <w:rFonts w:hint="eastAsia" w:ascii="仿宋_GB2312" w:hAnsi="仿宋_GB2312" w:cs="仿宋_GB2312"/>
                <w:bCs/>
                <w:sz w:val="24"/>
                <w:szCs w:val="24"/>
                <w:lang w:val="en-US" w:eastAsia="zh-CN"/>
              </w:rPr>
              <w:t>专项债变更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可行性研究报告编制业绩的，每提供一份有效业绩证明材料（合同或批复文件复印件，加盖公章）得</w:t>
            </w:r>
            <w:r>
              <w:rPr>
                <w:rFonts w:hint="eastAsia" w:ascii="仿宋_GB2312" w:hAnsi="仿宋_GB2312" w:cs="仿宋_GB2312"/>
                <w:bCs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分，本项最高得</w:t>
            </w:r>
            <w:r>
              <w:rPr>
                <w:rFonts w:hint="eastAsia" w:ascii="仿宋_GB2312" w:hAnsi="仿宋_GB2312" w:cs="仿宋_GB2312"/>
                <w:bCs/>
                <w:sz w:val="24"/>
                <w:szCs w:val="24"/>
                <w:lang w:val="en-US" w:eastAsia="zh-CN"/>
              </w:rPr>
              <w:t>20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分。</w:t>
            </w:r>
            <w:r>
              <w:rPr>
                <w:rFonts w:hint="eastAsia" w:ascii="仿宋_GB2312" w:hAnsi="仿宋_GB2312" w:cs="仿宋_GB2312"/>
                <w:bCs/>
                <w:sz w:val="24"/>
                <w:szCs w:val="24"/>
                <w:lang w:val="en-US" w:eastAsia="zh-CN"/>
              </w:rPr>
              <w:t>本项业绩与资格条件的业绩不能重复。</w:t>
            </w:r>
          </w:p>
        </w:tc>
      </w:tr>
      <w:tr w14:paraId="32C93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7" w:hRule="atLeast"/>
        </w:trPr>
        <w:tc>
          <w:tcPr>
            <w:tcW w:w="79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D6329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15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608D7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78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081FB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项目负责人</w:t>
            </w:r>
          </w:p>
          <w:p w14:paraId="7C54C0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（</w:t>
            </w:r>
            <w:r>
              <w:rPr>
                <w:rFonts w:hint="eastAsia" w:ascii="仿宋_GB2312" w:hAnsi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10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分）</w:t>
            </w:r>
          </w:p>
        </w:tc>
        <w:tc>
          <w:tcPr>
            <w:tcW w:w="573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12BDF4C">
            <w:pPr>
              <w:pStyle w:val="4"/>
              <w:ind w:left="0" w:leftChars="0" w:firstLine="0" w:firstLineChars="0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项目负责人具有高级工程师职称的得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分；具有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中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级工程师职称的得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分；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同时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具有咨询工程师（投资）执业资格的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加2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分。需提供职称证书及执业资格证书复印件、近三个月社保证明。</w:t>
            </w:r>
          </w:p>
        </w:tc>
      </w:tr>
      <w:tr w14:paraId="3650A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</w:trPr>
        <w:tc>
          <w:tcPr>
            <w:tcW w:w="9464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EE065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供应商的最终得分：在各位评委完成对响应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总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报价、技术部分、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综合部分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的汇总后，评委打分的算术平均值，作为该供应商的最终得分。本办法计算过程中分值按四舍五入保留两位小数。</w:t>
            </w:r>
          </w:p>
        </w:tc>
      </w:tr>
    </w:tbl>
    <w:p w14:paraId="0C85A089">
      <w:pPr>
        <w:rPr>
          <w:rFonts w:hint="default"/>
          <w:lang w:val="en-US" w:eastAsia="zh-CN"/>
        </w:rPr>
      </w:pPr>
    </w:p>
    <w:p w14:paraId="0A286F63"/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66843866-04FE-4643-99EF-90A0FF3BE2F4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8923A5DB-33A5-4E53-BCFD-32AF1BBD15D0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AECA76">
    <w:pPr>
      <w:pStyle w:val="8"/>
      <w:rPr>
        <w:rFonts w:ascii="宋体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845E379">
                          <w:pPr>
                            <w:pStyle w:val="8"/>
                            <w:wordWrap w:val="0"/>
                            <w:ind w:left="0" w:leftChars="0" w:firstLine="0" w:firstLineChars="0"/>
                            <w:jc w:val="both"/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val="en-US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val="en-US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val="en-US"/>
                            </w:rPr>
                            <w:t>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val="en-US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845E379">
                    <w:pPr>
                      <w:pStyle w:val="8"/>
                      <w:wordWrap w:val="0"/>
                      <w:ind w:left="0" w:leftChars="0" w:firstLine="0" w:firstLineChars="0"/>
                      <w:jc w:val="both"/>
                      <w:rPr>
                        <w:rFonts w:hint="eastAsia" w:ascii="宋体" w:hAnsi="宋体" w:cs="宋体"/>
                        <w:sz w:val="28"/>
                        <w:szCs w:val="28"/>
                        <w:lang w:val="en-US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val="en-US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val="en-US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val="en-US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val="en-US"/>
                      </w:rPr>
                      <w:t>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val="en-US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val="en-US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61298E">
    <w:pPr>
      <w:pStyle w:val="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9C75F3">
    <w:pPr>
      <w:pStyle w:val="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9104B6">
    <w:pPr>
      <w:pStyle w:val="9"/>
      <w:pBdr>
        <w:bottom w:val="none" w:color="auto" w:sz="0" w:space="1"/>
      </w:pBdr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4B86BE">
    <w:pPr>
      <w:pStyle w:val="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4936D8">
    <w:pPr>
      <w:pStyle w:val="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D9637F"/>
    <w:rsid w:val="0A0A476E"/>
    <w:rsid w:val="0F3F3029"/>
    <w:rsid w:val="0F895414"/>
    <w:rsid w:val="0FE73F81"/>
    <w:rsid w:val="1FB913FE"/>
    <w:rsid w:val="24CF1C50"/>
    <w:rsid w:val="29EE439A"/>
    <w:rsid w:val="2CFD7726"/>
    <w:rsid w:val="316C1F3A"/>
    <w:rsid w:val="39BD1693"/>
    <w:rsid w:val="3A40479E"/>
    <w:rsid w:val="3C8B3D2B"/>
    <w:rsid w:val="3D7C2E18"/>
    <w:rsid w:val="40467019"/>
    <w:rsid w:val="44823C05"/>
    <w:rsid w:val="450160CC"/>
    <w:rsid w:val="4D265A75"/>
    <w:rsid w:val="52114519"/>
    <w:rsid w:val="54324CFF"/>
    <w:rsid w:val="65E97BBE"/>
    <w:rsid w:val="665F56FC"/>
    <w:rsid w:val="6AF24D91"/>
    <w:rsid w:val="6B745058"/>
    <w:rsid w:val="6C922387"/>
    <w:rsid w:val="7B7B492E"/>
    <w:rsid w:val="7C1A5EF5"/>
    <w:rsid w:val="7CB76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ind w:firstLine="420" w:firstLineChars="200"/>
      <w:jc w:val="both"/>
    </w:pPr>
    <w:rPr>
      <w:rFonts w:ascii="Times New Roman" w:hAnsi="Times New Roman" w:eastAsia="仿宋_GB2312" w:cstheme="minorBidi"/>
      <w:kern w:val="2"/>
      <w:sz w:val="32"/>
      <w:szCs w:val="24"/>
      <w:lang w:val="en-US" w:eastAsia="zh-CN" w:bidi="ar-SA"/>
    </w:rPr>
  </w:style>
  <w:style w:type="paragraph" w:styleId="6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0" w:firstLineChars="0"/>
      <w:jc w:val="center"/>
      <w:outlineLvl w:val="0"/>
    </w:pPr>
    <w:rPr>
      <w:rFonts w:eastAsia="方正小标宋简体"/>
      <w:kern w:val="44"/>
      <w:sz w:val="44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4"/>
    <w:qFormat/>
    <w:uiPriority w:val="0"/>
    <w:pPr>
      <w:ind w:firstLine="420" w:firstLineChars="100"/>
    </w:pPr>
  </w:style>
  <w:style w:type="paragraph" w:styleId="3">
    <w:name w:val="Body Text"/>
    <w:basedOn w:val="1"/>
    <w:next w:val="1"/>
    <w:qFormat/>
    <w:uiPriority w:val="0"/>
    <w:pPr>
      <w:spacing w:after="120" w:afterLines="0" w:afterAutospacing="0"/>
    </w:pPr>
  </w:style>
  <w:style w:type="paragraph" w:styleId="4">
    <w:name w:val="Body Text First Indent 2"/>
    <w:basedOn w:val="5"/>
    <w:next w:val="1"/>
    <w:qFormat/>
    <w:uiPriority w:val="0"/>
    <w:pPr>
      <w:ind w:firstLine="420" w:firstLineChars="200"/>
    </w:pPr>
  </w:style>
  <w:style w:type="paragraph" w:styleId="5">
    <w:name w:val="Body Text Indent"/>
    <w:basedOn w:val="1"/>
    <w:next w:val="1"/>
    <w:qFormat/>
    <w:uiPriority w:val="0"/>
    <w:pPr>
      <w:spacing w:after="120" w:afterLines="0" w:afterAutospacing="0"/>
      <w:ind w:left="420" w:leftChars="200"/>
    </w:pPr>
  </w:style>
  <w:style w:type="paragraph" w:styleId="7">
    <w:name w:val="annotation text"/>
    <w:basedOn w:val="1"/>
    <w:next w:val="1"/>
    <w:qFormat/>
    <w:uiPriority w:val="0"/>
    <w:pPr>
      <w:jc w:val="left"/>
    </w:p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12">
    <w:name w:val=" Char"/>
    <w:basedOn w:val="1"/>
    <w:unhideWhenUsed/>
    <w:qFormat/>
    <w:uiPriority w:val="0"/>
    <w:pPr>
      <w:spacing w:beforeLines="0" w:afterLines="0"/>
    </w:pPr>
    <w:rPr>
      <w:rFonts w:hint="default"/>
      <w:sz w:val="21"/>
    </w:rPr>
  </w:style>
  <w:style w:type="paragraph" w:customStyle="1" w:styleId="13">
    <w:name w:val="表格字体-居中"/>
    <w:basedOn w:val="1"/>
    <w:next w:val="1"/>
    <w:qFormat/>
    <w:uiPriority w:val="0"/>
    <w:pPr>
      <w:jc w:val="center"/>
    </w:pPr>
    <w:rPr>
      <w:rFonts w:ascii="Calibri" w:hAnsi="Calibri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1347</Words>
  <Characters>1404</Characters>
  <Lines>0</Lines>
  <Paragraphs>0</Paragraphs>
  <TotalTime>2</TotalTime>
  <ScaleCrop>false</ScaleCrop>
  <LinksUpToDate>false</LinksUpToDate>
  <CharactersWithSpaces>1404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2026-06-25T08:33:00Z</dcterms:created>
  <dc:creator>1</dc:creator>
  <cp:lastModifiedBy>15222</cp:lastModifiedBy>
  <dcterms:modified xsi:type="dcterms:W3CDTF">2026-11-05T09:01:55Z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eyJoZGlkIjoiNWZjMzRlZTEyNmFhMjI3NGQwNWU5ODRkMmExZWYzZjEiLCJ1c2VySWQiOiIzMDMxNjAxMDAifQ==</vt:lpwstr>
  </property>
  <property fmtid="{D5CDD505-2E9C-101B-9397-08002B2CF9AE}" pid="4" name="ICV">
    <vt:lpwstr>6F0182A54CCA419E9025F10F4592960F_12</vt:lpwstr>
  </property>
</Properties>
</file>